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0C591" w14:textId="77777777" w:rsidR="00D50AA4" w:rsidRDefault="00D50AA4" w:rsidP="00306C20">
      <w:pPr>
        <w:rPr>
          <w:rFonts w:ascii="Open Sans" w:hAnsi="Open Sans" w:cs="Open Sans"/>
          <w:b/>
          <w:sz w:val="24"/>
          <w:szCs w:val="24"/>
        </w:rPr>
      </w:pPr>
    </w:p>
    <w:p w14:paraId="7772CEDC" w14:textId="7733A967" w:rsidR="006107DE" w:rsidRPr="00D50AA4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 xml:space="preserve">Person </w:t>
      </w:r>
      <w:proofErr w:type="gramStart"/>
      <w:r w:rsidRPr="00D50AA4">
        <w:rPr>
          <w:rFonts w:ascii="Open Sans" w:hAnsi="Open Sans" w:cs="Open Sans"/>
          <w:b/>
          <w:sz w:val="28"/>
          <w:szCs w:val="28"/>
        </w:rPr>
        <w:t>Specification</w:t>
      </w:r>
      <w:r w:rsidR="0069473B" w:rsidRPr="00D50AA4">
        <w:rPr>
          <w:rFonts w:ascii="Open Sans" w:hAnsi="Open Sans" w:cs="Open Sans"/>
          <w:b/>
          <w:sz w:val="28"/>
          <w:szCs w:val="28"/>
        </w:rPr>
        <w:t xml:space="preserve"> </w:t>
      </w:r>
      <w:r w:rsidR="00D50AA4" w:rsidRPr="00D50AA4">
        <w:rPr>
          <w:rFonts w:ascii="Open Sans" w:hAnsi="Open Sans" w:cs="Open Sans"/>
          <w:b/>
          <w:sz w:val="28"/>
          <w:szCs w:val="28"/>
        </w:rPr>
        <w:t xml:space="preserve"> Diocesan</w:t>
      </w:r>
      <w:proofErr w:type="gramEnd"/>
      <w:r w:rsidR="00D50AA4" w:rsidRPr="00D50AA4">
        <w:rPr>
          <w:rFonts w:ascii="Open Sans" w:hAnsi="Open Sans" w:cs="Open Sans"/>
          <w:b/>
          <w:sz w:val="28"/>
          <w:szCs w:val="28"/>
        </w:rPr>
        <w:t xml:space="preserve"> Safeguarding Adviser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3402"/>
      </w:tblGrid>
      <w:tr w:rsidR="005A7790" w:rsidRPr="005938E5" w14:paraId="054845C9" w14:textId="77777777" w:rsidTr="00755F3A">
        <w:tc>
          <w:tcPr>
            <w:tcW w:w="1902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5A7790" w:rsidRPr="005938E5" w14:paraId="2A6936D2" w14:textId="77777777" w:rsidTr="00755F3A">
        <w:tc>
          <w:tcPr>
            <w:tcW w:w="1902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38602948" w14:textId="2D96CDF2" w:rsidR="00081D74" w:rsidRDefault="00081D74" w:rsidP="00D50A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Relevant </w:t>
            </w:r>
            <w:r w:rsidR="003C02DD">
              <w:rPr>
                <w:rFonts w:ascii="Open Sans" w:eastAsia="Times New Roman" w:hAnsi="Open Sans" w:cs="Open Sans"/>
                <w:sz w:val="24"/>
                <w:szCs w:val="24"/>
              </w:rPr>
              <w:t>qualification or equivalent training and experience.</w:t>
            </w:r>
          </w:p>
          <w:p w14:paraId="1974C134" w14:textId="40B81221" w:rsidR="005A7790" w:rsidRPr="0019019D" w:rsidRDefault="0019019D" w:rsidP="003C02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9019D">
              <w:rPr>
                <w:rFonts w:ascii="Open Sans" w:eastAsia="Times New Roman" w:hAnsi="Open Sans" w:cs="Open Sans"/>
                <w:sz w:val="24"/>
                <w:szCs w:val="24"/>
              </w:rPr>
              <w:t>Relevant professional qualification or equivalent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 training or experience</w:t>
            </w:r>
            <w:r w:rsidRPr="0019019D">
              <w:rPr>
                <w:rFonts w:ascii="Open Sans" w:eastAsia="Times New Roman" w:hAnsi="Open Sans" w:cs="Open Sans"/>
                <w:sz w:val="24"/>
                <w:szCs w:val="24"/>
              </w:rPr>
              <w:t xml:space="preserve"> (for example, social care or criminal justice), with current professional registration where applicable.</w:t>
            </w:r>
          </w:p>
        </w:tc>
        <w:tc>
          <w:tcPr>
            <w:tcW w:w="3402" w:type="dxa"/>
            <w:shd w:val="clear" w:color="auto" w:fill="auto"/>
          </w:tcPr>
          <w:p w14:paraId="49C8D4F9" w14:textId="2DFEF2A3" w:rsidR="007B4D0F" w:rsidRDefault="007B4D0F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B4D0F">
              <w:rPr>
                <w:rFonts w:ascii="Open Sans" w:eastAsia="Times New Roman" w:hAnsi="Open Sans" w:cs="Open Sans"/>
                <w:sz w:val="24"/>
                <w:szCs w:val="24"/>
              </w:rPr>
              <w:t>• Degree level or above.</w:t>
            </w:r>
          </w:p>
          <w:p w14:paraId="2F249B5E" w14:textId="25EB2A77" w:rsidR="005A7790" w:rsidRPr="005938E5" w:rsidRDefault="008A7C3A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A7C3A">
              <w:rPr>
                <w:rFonts w:ascii="Open Sans" w:eastAsia="Times New Roman" w:hAnsi="Open Sans" w:cs="Open Sans"/>
                <w:sz w:val="24"/>
                <w:szCs w:val="24"/>
              </w:rPr>
              <w:t>• The equivalent of level 3 or above training accreditation in child or adult protection with ability to demonstrate transferrable knowledge across the client groups.</w:t>
            </w:r>
          </w:p>
        </w:tc>
      </w:tr>
      <w:tr w:rsidR="005A7790" w:rsidRPr="005938E5" w14:paraId="63F13E64" w14:textId="77777777" w:rsidTr="00755F3A">
        <w:tc>
          <w:tcPr>
            <w:tcW w:w="1902" w:type="dxa"/>
            <w:shd w:val="clear" w:color="auto" w:fill="auto"/>
          </w:tcPr>
          <w:p w14:paraId="2168EFAE" w14:textId="775CF5C1" w:rsidR="005A7790" w:rsidRPr="005938E5" w:rsidRDefault="004E4D92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Knowledge and </w:t>
            </w:r>
            <w:r w:rsidR="005A7790"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341E76AB" w14:textId="77777777" w:rsidR="00A66A9D" w:rsidRPr="00A66A9D" w:rsidRDefault="00A66A9D" w:rsidP="00A66A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 xml:space="preserve">Extensive experience of safeguarding of children and </w:t>
            </w:r>
            <w:proofErr w:type="gramStart"/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>adults;</w:t>
            </w:r>
            <w:proofErr w:type="gramEnd"/>
          </w:p>
          <w:p w14:paraId="0FBB46CE" w14:textId="77777777" w:rsidR="00A66A9D" w:rsidRDefault="00A66A9D" w:rsidP="00A66A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of undertaking work at a strategic level of contributing to policy and practice development and </w:t>
            </w:r>
            <w:proofErr w:type="gramStart"/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>implementation;</w:t>
            </w:r>
            <w:proofErr w:type="gramEnd"/>
          </w:p>
          <w:p w14:paraId="02ABF2C4" w14:textId="21C8C085" w:rsidR="00B92F81" w:rsidRPr="00A66A9D" w:rsidRDefault="00B92F81" w:rsidP="00A66A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Experience of leading a team</w:t>
            </w:r>
            <w:r w:rsidR="00683908">
              <w:rPr>
                <w:rFonts w:ascii="Open Sans" w:eastAsia="Times New Roman" w:hAnsi="Open Sans" w:cs="Open Sans"/>
                <w:sz w:val="24"/>
                <w:szCs w:val="24"/>
              </w:rPr>
              <w:t xml:space="preserve"> and managing a department strategically</w:t>
            </w:r>
            <w:r w:rsidR="00BC4B62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E9807A8" w14:textId="77777777" w:rsidR="00A66A9D" w:rsidRDefault="00A66A9D" w:rsidP="00A66A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>Experience of working on and managing cases involving the statutory response to the protection of children/</w:t>
            </w:r>
            <w:proofErr w:type="gramStart"/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>adults;</w:t>
            </w:r>
            <w:proofErr w:type="gramEnd"/>
          </w:p>
          <w:p w14:paraId="24753267" w14:textId="3BC0E436" w:rsidR="00AE2E4D" w:rsidRPr="00A66A9D" w:rsidRDefault="00AE2E4D" w:rsidP="00A66A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Experience of delivering training</w:t>
            </w:r>
            <w:r w:rsidR="00732FA4">
              <w:rPr>
                <w:rFonts w:ascii="Open Sans" w:eastAsia="Times New Roman" w:hAnsi="Open Sans" w:cs="Open Sans"/>
                <w:sz w:val="24"/>
                <w:szCs w:val="24"/>
              </w:rPr>
              <w:t xml:space="preserve"> and the management and oversight of training </w:t>
            </w:r>
            <w:proofErr w:type="gramStart"/>
            <w:r w:rsidR="00732FA4">
              <w:rPr>
                <w:rFonts w:ascii="Open Sans" w:eastAsia="Times New Roman" w:hAnsi="Open Sans" w:cs="Open Sans"/>
                <w:sz w:val="24"/>
                <w:szCs w:val="24"/>
              </w:rPr>
              <w:t>delivery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  <w:proofErr w:type="gramEnd"/>
          </w:p>
          <w:p w14:paraId="496A820F" w14:textId="77777777" w:rsidR="00A66A9D" w:rsidRPr="00A66A9D" w:rsidRDefault="00A66A9D" w:rsidP="00A66A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>Experience of applying policies, procedures and good practice in relation to the safeguarding and protection of children/</w:t>
            </w:r>
            <w:proofErr w:type="gramStart"/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>adults;</w:t>
            </w:r>
            <w:proofErr w:type="gramEnd"/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  <w:p w14:paraId="160C64F9" w14:textId="77777777" w:rsidR="00A66A9D" w:rsidRPr="00A66A9D" w:rsidRDefault="00A66A9D" w:rsidP="00A66A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 xml:space="preserve">Experience of undertaking statutory case and /or management </w:t>
            </w:r>
            <w:proofErr w:type="gramStart"/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>reviews;</w:t>
            </w:r>
            <w:proofErr w:type="gramEnd"/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  <w:p w14:paraId="748A7108" w14:textId="77777777" w:rsidR="00A66A9D" w:rsidRPr="00A66A9D" w:rsidRDefault="00A66A9D" w:rsidP="00A66A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of undertaking statutory risk </w:t>
            </w:r>
            <w:proofErr w:type="gramStart"/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>assessments;</w:t>
            </w:r>
            <w:proofErr w:type="gramEnd"/>
          </w:p>
          <w:p w14:paraId="7E1F322B" w14:textId="77777777" w:rsidR="00A66A9D" w:rsidRPr="00A66A9D" w:rsidRDefault="00A66A9D" w:rsidP="00A66A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 xml:space="preserve">Management experience in providing supervision to staff in managing and co-ordinating safeguarding of children and/or </w:t>
            </w:r>
            <w:proofErr w:type="gramStart"/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>adults;</w:t>
            </w:r>
            <w:proofErr w:type="gramEnd"/>
          </w:p>
          <w:p w14:paraId="0DD49BFA" w14:textId="77777777" w:rsidR="00A66A9D" w:rsidRPr="00A66A9D" w:rsidRDefault="00A66A9D" w:rsidP="00A66A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 xml:space="preserve">Detailed knowledge of and experience of applying safeguarding legislation, guidance and best </w:t>
            </w:r>
            <w:proofErr w:type="gramStart"/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>practice;</w:t>
            </w:r>
            <w:proofErr w:type="gramEnd"/>
          </w:p>
          <w:p w14:paraId="30707F24" w14:textId="77777777" w:rsidR="00A66A9D" w:rsidRPr="00A66A9D" w:rsidRDefault="00A66A9D" w:rsidP="00A66A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 xml:space="preserve">In-depth knowledge of the statutory framework in relation to safeguarding children and </w:t>
            </w:r>
            <w:proofErr w:type="gramStart"/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>adults;</w:t>
            </w:r>
            <w:proofErr w:type="gramEnd"/>
          </w:p>
          <w:p w14:paraId="66CA6031" w14:textId="77777777" w:rsidR="00A66A9D" w:rsidRPr="00A66A9D" w:rsidRDefault="00A66A9D" w:rsidP="00A66A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 xml:space="preserve">Practitioner/manager experience of working with victims or survivors of abuse, including adults with mental health </w:t>
            </w:r>
            <w:proofErr w:type="gramStart"/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>issues;</w:t>
            </w:r>
            <w:proofErr w:type="gramEnd"/>
          </w:p>
          <w:p w14:paraId="7CD92904" w14:textId="77777777" w:rsidR="00A66A9D" w:rsidRPr="00A66A9D" w:rsidRDefault="00A66A9D" w:rsidP="00A66A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>Experience of working with a range of statutory and non-statutory organisations in managing or contributing to safeguarding, including managing allegations against people in positions of trust and the management of those who may pose a risk.</w:t>
            </w:r>
          </w:p>
          <w:p w14:paraId="320769E7" w14:textId="77777777" w:rsidR="00A66A9D" w:rsidRPr="00A66A9D" w:rsidRDefault="00A66A9D" w:rsidP="00A66A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of communications and external stakeholder management on safeguarding issues with </w:t>
            </w:r>
            <w:proofErr w:type="gramStart"/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>policy-makers</w:t>
            </w:r>
            <w:proofErr w:type="gramEnd"/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>, media and other external stakeholders at local and/or national level in a context of public scrutiny; and</w:t>
            </w:r>
          </w:p>
          <w:p w14:paraId="5C3CD307" w14:textId="75A90C9E" w:rsidR="00BB5BA7" w:rsidRPr="00166D81" w:rsidRDefault="00A66A9D" w:rsidP="00166D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of designing, leading and/or contributing to case review processes and identifying and disseminating lessons to be learnt </w:t>
            </w:r>
            <w:proofErr w:type="gramStart"/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>e.g.</w:t>
            </w:r>
            <w:proofErr w:type="gramEnd"/>
            <w:r w:rsidRPr="00A66A9D">
              <w:rPr>
                <w:rFonts w:ascii="Open Sans" w:eastAsia="Times New Roman" w:hAnsi="Open Sans" w:cs="Open Sans"/>
                <w:sz w:val="24"/>
                <w:szCs w:val="24"/>
              </w:rPr>
              <w:t xml:space="preserve"> Serious Case Reviews, Domestic Homicide Reviews, Serious Untoward Incident Reviews or Significant Incident Learning Processes, MAPPA reviews etc.</w:t>
            </w:r>
          </w:p>
        </w:tc>
        <w:tc>
          <w:tcPr>
            <w:tcW w:w="3402" w:type="dxa"/>
            <w:shd w:val="clear" w:color="auto" w:fill="auto"/>
          </w:tcPr>
          <w:p w14:paraId="436D21E1" w14:textId="02928FC3" w:rsidR="0038476A" w:rsidRDefault="0038476A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8476A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Some understanding of Church of England structures and experience of working with the Church or other faith groups in respect of safeguarding children and/or vulnerable adults.</w:t>
            </w:r>
          </w:p>
          <w:p w14:paraId="1588ACA9" w14:textId="4DA06C21" w:rsidR="002227E8" w:rsidRDefault="002227E8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Knowledge of the House of Bishops’ Practice Guidance.</w:t>
            </w:r>
          </w:p>
          <w:p w14:paraId="4BA1E635" w14:textId="5EB58B2C" w:rsidR="0078317B" w:rsidRPr="0038476A" w:rsidRDefault="0078317B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Experience of working with volunteers.</w:t>
            </w:r>
          </w:p>
          <w:p w14:paraId="10C80194" w14:textId="51A1DFED" w:rsidR="0079642A" w:rsidRPr="0038476A" w:rsidRDefault="0079642A" w:rsidP="0038476A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35070726" w14:textId="77777777" w:rsidTr="00755F3A">
        <w:tc>
          <w:tcPr>
            <w:tcW w:w="1902" w:type="dxa"/>
            <w:shd w:val="clear" w:color="auto" w:fill="auto"/>
          </w:tcPr>
          <w:p w14:paraId="38F361F0" w14:textId="7819BD0E" w:rsidR="005A7790" w:rsidRPr="005938E5" w:rsidRDefault="00566A1D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sz w:val="24"/>
                <w:szCs w:val="24"/>
              </w:rPr>
              <w:lastRenderedPageBreak/>
              <w:t>S</w:t>
            </w:r>
            <w:r w:rsidR="005A7790"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kills and abilities</w:t>
            </w:r>
          </w:p>
          <w:p w14:paraId="6C010555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24047C7C" w14:textId="77777777" w:rsidR="00166D81" w:rsidRPr="00166D81" w:rsidRDefault="00166D81" w:rsidP="00166D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66D81">
              <w:rPr>
                <w:rFonts w:ascii="Open Sans" w:eastAsia="Times New Roman" w:hAnsi="Open Sans" w:cs="Open Sans"/>
                <w:sz w:val="24"/>
                <w:szCs w:val="24"/>
              </w:rPr>
              <w:t>Understanding of the broader safeguarding field including its social and political context.</w:t>
            </w:r>
          </w:p>
          <w:p w14:paraId="5B285E43" w14:textId="77777777" w:rsidR="00166D81" w:rsidRPr="00166D81" w:rsidRDefault="00166D81" w:rsidP="00166D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66D81">
              <w:rPr>
                <w:rFonts w:ascii="Open Sans" w:eastAsia="Times New Roman" w:hAnsi="Open Sans" w:cs="Open Sans"/>
                <w:sz w:val="24"/>
                <w:szCs w:val="24"/>
              </w:rPr>
              <w:t xml:space="preserve">Strong verbal communications skills and ability to produce clear written records and </w:t>
            </w:r>
            <w:proofErr w:type="gramStart"/>
            <w:r w:rsidRPr="00166D81">
              <w:rPr>
                <w:rFonts w:ascii="Open Sans" w:eastAsia="Times New Roman" w:hAnsi="Open Sans" w:cs="Open Sans"/>
                <w:sz w:val="24"/>
                <w:szCs w:val="24"/>
              </w:rPr>
              <w:t>reports;</w:t>
            </w:r>
            <w:proofErr w:type="gramEnd"/>
          </w:p>
          <w:p w14:paraId="36B5198A" w14:textId="72749AC5" w:rsidR="00166D81" w:rsidRPr="00166D81" w:rsidRDefault="00166D81" w:rsidP="00166D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66D81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Ability to work sensitively with survivors,</w:t>
            </w:r>
            <w:r w:rsidR="0096483B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00166D81">
              <w:rPr>
                <w:rFonts w:ascii="Open Sans" w:eastAsia="Times New Roman" w:hAnsi="Open Sans" w:cs="Open Sans"/>
                <w:sz w:val="24"/>
                <w:szCs w:val="24"/>
              </w:rPr>
              <w:t xml:space="preserve">those who are subject to allegations and/or those that may pose a </w:t>
            </w:r>
            <w:proofErr w:type="gramStart"/>
            <w:r w:rsidRPr="00166D81">
              <w:rPr>
                <w:rFonts w:ascii="Open Sans" w:eastAsia="Times New Roman" w:hAnsi="Open Sans" w:cs="Open Sans"/>
                <w:sz w:val="24"/>
                <w:szCs w:val="24"/>
              </w:rPr>
              <w:t>risk;</w:t>
            </w:r>
            <w:proofErr w:type="gramEnd"/>
          </w:p>
          <w:p w14:paraId="5CA19DDF" w14:textId="77777777" w:rsidR="00166D81" w:rsidRDefault="00166D81" w:rsidP="00166D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66D81">
              <w:rPr>
                <w:rFonts w:ascii="Open Sans" w:eastAsia="Times New Roman" w:hAnsi="Open Sans" w:cs="Open Sans"/>
                <w:sz w:val="24"/>
                <w:szCs w:val="24"/>
              </w:rPr>
              <w:t xml:space="preserve">Ability to manage and analyse complex and sensitive information and assess </w:t>
            </w:r>
            <w:proofErr w:type="gramStart"/>
            <w:r w:rsidRPr="00166D81">
              <w:rPr>
                <w:rFonts w:ascii="Open Sans" w:eastAsia="Times New Roman" w:hAnsi="Open Sans" w:cs="Open Sans"/>
                <w:sz w:val="24"/>
                <w:szCs w:val="24"/>
              </w:rPr>
              <w:t>risk;</w:t>
            </w:r>
            <w:proofErr w:type="gramEnd"/>
          </w:p>
          <w:p w14:paraId="44CDF466" w14:textId="7124B130" w:rsidR="003879ED" w:rsidRPr="00166D81" w:rsidRDefault="003879ED" w:rsidP="00166D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Ability to make confident and competent </w:t>
            </w:r>
            <w:proofErr w:type="gramStart"/>
            <w:r>
              <w:rPr>
                <w:rFonts w:ascii="Open Sans" w:eastAsia="Times New Roman" w:hAnsi="Open Sans" w:cs="Open Sans"/>
                <w:sz w:val="24"/>
                <w:szCs w:val="24"/>
              </w:rPr>
              <w:t>decisions</w:t>
            </w:r>
            <w:r w:rsidR="00CA708F">
              <w:rPr>
                <w:rFonts w:ascii="Open Sans" w:eastAsia="Times New Roman" w:hAnsi="Open Sans" w:cs="Open Sans"/>
                <w:sz w:val="24"/>
                <w:szCs w:val="24"/>
              </w:rPr>
              <w:t>;</w:t>
            </w:r>
            <w:proofErr w:type="gramEnd"/>
          </w:p>
          <w:p w14:paraId="3F324C94" w14:textId="44C26E25" w:rsidR="00166D81" w:rsidRPr="00166D81" w:rsidRDefault="00166D81" w:rsidP="00166D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66D81">
              <w:rPr>
                <w:rFonts w:ascii="Open Sans" w:eastAsia="Times New Roman" w:hAnsi="Open Sans" w:cs="Open Sans"/>
                <w:sz w:val="24"/>
                <w:szCs w:val="24"/>
              </w:rPr>
              <w:t xml:space="preserve">Ability to work collaboratively with a range of stakeholders to influence improvements to </w:t>
            </w:r>
            <w:proofErr w:type="gramStart"/>
            <w:r w:rsidRPr="00166D81">
              <w:rPr>
                <w:rFonts w:ascii="Open Sans" w:eastAsia="Times New Roman" w:hAnsi="Open Sans" w:cs="Open Sans"/>
                <w:sz w:val="24"/>
                <w:szCs w:val="24"/>
              </w:rPr>
              <w:t>practice;</w:t>
            </w:r>
            <w:proofErr w:type="gramEnd"/>
          </w:p>
          <w:p w14:paraId="07B09812" w14:textId="77777777" w:rsidR="00166D81" w:rsidRPr="00166D81" w:rsidRDefault="00166D81" w:rsidP="00166D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66D81">
              <w:rPr>
                <w:rFonts w:ascii="Open Sans" w:eastAsia="Times New Roman" w:hAnsi="Open Sans" w:cs="Open Sans"/>
                <w:sz w:val="24"/>
                <w:szCs w:val="24"/>
              </w:rPr>
              <w:t>Demonstrable ability to be part of and contribute to a wider team as part of a large national institution and to work collegially with specialist and non-specialist colleagues; and</w:t>
            </w:r>
          </w:p>
          <w:p w14:paraId="68BF3378" w14:textId="77777777" w:rsidR="005A7790" w:rsidRDefault="00166D81" w:rsidP="005B1A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66D81">
              <w:rPr>
                <w:rFonts w:ascii="Open Sans" w:eastAsia="Times New Roman" w:hAnsi="Open Sans" w:cs="Open Sans"/>
                <w:sz w:val="24"/>
                <w:szCs w:val="24"/>
              </w:rPr>
              <w:t>Ability to deliver or contribute directly to the delivery of safeguarding training to safeguarding professionals as well as other stakeholders.</w:t>
            </w:r>
          </w:p>
          <w:p w14:paraId="1DBACF57" w14:textId="77777777" w:rsidR="00CA708F" w:rsidRDefault="00CA708F" w:rsidP="005B1A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Ability to manage workload and department strategically, triaging workload</w:t>
            </w:r>
            <w:r w:rsidR="004D0BB3">
              <w:rPr>
                <w:rFonts w:ascii="Open Sans" w:eastAsia="Times New Roman" w:hAnsi="Open Sans" w:cs="Open Sans"/>
                <w:sz w:val="24"/>
                <w:szCs w:val="24"/>
              </w:rPr>
              <w:t xml:space="preserve"> and allocating to staff appropriately.</w:t>
            </w:r>
          </w:p>
          <w:p w14:paraId="3C1D03F5" w14:textId="7B5E9686" w:rsidR="00F30D1D" w:rsidRPr="0096483B" w:rsidRDefault="00F30D1D" w:rsidP="005B1A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Fully competent in IT </w:t>
            </w:r>
            <w:r w:rsidR="00420095">
              <w:rPr>
                <w:rFonts w:ascii="Open Sans" w:eastAsia="Times New Roman" w:hAnsi="Open Sans" w:cs="Open Sans"/>
                <w:sz w:val="24"/>
                <w:szCs w:val="24"/>
              </w:rPr>
              <w:t xml:space="preserve">skills and 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to be able to </w:t>
            </w:r>
            <w:r w:rsidR="00420095">
              <w:rPr>
                <w:rFonts w:ascii="Open Sans" w:eastAsia="Times New Roman" w:hAnsi="Open Sans" w:cs="Open Sans"/>
                <w:sz w:val="24"/>
                <w:szCs w:val="24"/>
              </w:rPr>
              <w:t>store electronic records safely and securely and operate the dashboards system.</w:t>
            </w:r>
          </w:p>
        </w:tc>
        <w:tc>
          <w:tcPr>
            <w:tcW w:w="3402" w:type="dxa"/>
            <w:shd w:val="clear" w:color="auto" w:fill="auto"/>
          </w:tcPr>
          <w:p w14:paraId="683ADB96" w14:textId="1FF082CA" w:rsidR="005E32D3" w:rsidRPr="005938E5" w:rsidRDefault="005E32D3" w:rsidP="0038476A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25E8AEA1" w14:textId="77777777" w:rsidTr="00755F3A">
        <w:tc>
          <w:tcPr>
            <w:tcW w:w="1902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08D635B7" w14:textId="77777777" w:rsidR="008B58E3" w:rsidRPr="008B58E3" w:rsidRDefault="008B58E3" w:rsidP="008B58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B58E3">
              <w:rPr>
                <w:rFonts w:ascii="Open Sans" w:eastAsia="Times New Roman" w:hAnsi="Open Sans" w:cs="Open Sans"/>
                <w:sz w:val="24"/>
                <w:szCs w:val="24"/>
              </w:rPr>
              <w:t xml:space="preserve">Confidence to work with senior people at a national level, including senior church leaders, external safeguarding experts and other </w:t>
            </w:r>
            <w:proofErr w:type="gramStart"/>
            <w:r w:rsidRPr="008B58E3">
              <w:rPr>
                <w:rFonts w:ascii="Open Sans" w:eastAsia="Times New Roman" w:hAnsi="Open Sans" w:cs="Open Sans"/>
                <w:sz w:val="24"/>
                <w:szCs w:val="24"/>
              </w:rPr>
              <w:t>stakeholders;</w:t>
            </w:r>
            <w:proofErr w:type="gramEnd"/>
          </w:p>
          <w:p w14:paraId="1CD75A11" w14:textId="77777777" w:rsidR="008B58E3" w:rsidRPr="008B58E3" w:rsidRDefault="008B58E3" w:rsidP="008B58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B58E3">
              <w:rPr>
                <w:rFonts w:ascii="Open Sans" w:eastAsia="Times New Roman" w:hAnsi="Open Sans" w:cs="Open Sans"/>
                <w:sz w:val="24"/>
                <w:szCs w:val="24"/>
              </w:rPr>
              <w:t xml:space="preserve">A proven ability to develop and sustain relationships at all levels both inside and outside the </w:t>
            </w:r>
            <w:proofErr w:type="gramStart"/>
            <w:r w:rsidRPr="008B58E3">
              <w:rPr>
                <w:rFonts w:ascii="Open Sans" w:eastAsia="Times New Roman" w:hAnsi="Open Sans" w:cs="Open Sans"/>
                <w:sz w:val="24"/>
                <w:szCs w:val="24"/>
              </w:rPr>
              <w:t>Church;</w:t>
            </w:r>
            <w:proofErr w:type="gramEnd"/>
          </w:p>
          <w:p w14:paraId="0CA6F494" w14:textId="77777777" w:rsidR="008B58E3" w:rsidRPr="008B58E3" w:rsidRDefault="008B58E3" w:rsidP="008B58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B58E3">
              <w:rPr>
                <w:rFonts w:ascii="Open Sans" w:eastAsia="Times New Roman" w:hAnsi="Open Sans" w:cs="Open Sans"/>
                <w:sz w:val="24"/>
                <w:szCs w:val="24"/>
              </w:rPr>
              <w:t>A proven ability to maintain the highest standards of confidentiality and work sensitively with those affected by safeguarding issues; and</w:t>
            </w:r>
          </w:p>
          <w:p w14:paraId="7C01804B" w14:textId="77777777" w:rsidR="008B58E3" w:rsidRPr="008B58E3" w:rsidRDefault="008B58E3" w:rsidP="008B58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B58E3">
              <w:rPr>
                <w:rFonts w:ascii="Open Sans" w:eastAsia="Times New Roman" w:hAnsi="Open Sans" w:cs="Open Sans"/>
                <w:sz w:val="24"/>
                <w:szCs w:val="24"/>
              </w:rPr>
              <w:t>In sympathy with the aims of the Church of England.</w:t>
            </w:r>
          </w:p>
          <w:p w14:paraId="090BC409" w14:textId="77777777" w:rsidR="00BB5BA7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An ability to work under pressure. </w:t>
            </w:r>
          </w:p>
          <w:p w14:paraId="236C470B" w14:textId="7D7AA4DF" w:rsidR="00BB5BA7" w:rsidRPr="005938E5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00E459B9" w:rsidRPr="005938E5">
              <w:rPr>
                <w:rFonts w:ascii="Open Sans" w:eastAsia="Times New Roman" w:hAnsi="Open Sans" w:cs="Open Sans"/>
                <w:sz w:val="24"/>
                <w:szCs w:val="24"/>
              </w:rPr>
              <w:t>n encouraging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team </w:t>
            </w:r>
            <w:r w:rsidR="007D1E9D" w:rsidRPr="005938E5">
              <w:rPr>
                <w:rFonts w:ascii="Open Sans" w:eastAsia="Times New Roman" w:hAnsi="Open Sans" w:cs="Open Sans"/>
                <w:sz w:val="24"/>
                <w:szCs w:val="24"/>
              </w:rPr>
              <w:t>player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A3C24A7" w14:textId="77777777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>Flexibility.</w:t>
            </w:r>
          </w:p>
        </w:tc>
        <w:tc>
          <w:tcPr>
            <w:tcW w:w="3402" w:type="dxa"/>
            <w:shd w:val="clear" w:color="auto" w:fill="auto"/>
          </w:tcPr>
          <w:p w14:paraId="0057085E" w14:textId="301659C2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Evidence of continued </w:t>
            </w:r>
            <w:r w:rsidR="00755F3A">
              <w:rPr>
                <w:rFonts w:ascii="Open Sans" w:eastAsia="Times New Roman" w:hAnsi="Open Sans" w:cs="Open Sans"/>
                <w:sz w:val="24"/>
                <w:szCs w:val="24"/>
              </w:rPr>
              <w:t>learning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</w:tc>
      </w:tr>
      <w:tr w:rsidR="005A7790" w:rsidRPr="0069473B" w14:paraId="62727692" w14:textId="77777777" w:rsidTr="00755F3A">
        <w:tc>
          <w:tcPr>
            <w:tcW w:w="1902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lastRenderedPageBreak/>
              <w:t xml:space="preserve">General </w:t>
            </w:r>
          </w:p>
        </w:tc>
        <w:tc>
          <w:tcPr>
            <w:tcW w:w="7165" w:type="dxa"/>
            <w:shd w:val="clear" w:color="auto" w:fill="auto"/>
          </w:tcPr>
          <w:p w14:paraId="500AA642" w14:textId="03BE7870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 xml:space="preserve">Full driving licence </w:t>
            </w:r>
            <w:r w:rsidR="005E32D3" w:rsidRPr="002319F6">
              <w:rPr>
                <w:rFonts w:ascii="Open Sans" w:eastAsia="Times New Roman" w:hAnsi="Open Sans" w:cs="Open Sans"/>
              </w:rPr>
              <w:t xml:space="preserve">and access to a </w:t>
            </w:r>
            <w:r w:rsidR="00B92F81">
              <w:rPr>
                <w:rFonts w:ascii="Open Sans" w:eastAsia="Times New Roman" w:hAnsi="Open Sans" w:cs="Open Sans"/>
              </w:rPr>
              <w:t>vehicle</w:t>
            </w:r>
            <w:r w:rsidR="005E32D3" w:rsidRPr="002319F6">
              <w:rPr>
                <w:rFonts w:ascii="Open Sans" w:eastAsia="Times New Roman" w:hAnsi="Open Sans" w:cs="Open San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439912C9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</w:tr>
    </w:tbl>
    <w:p w14:paraId="5C3B98CD" w14:textId="77777777" w:rsidR="005A7790" w:rsidRDefault="005A7790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41244A69" w:rsidR="0069473B" w:rsidRPr="0069473B" w:rsidRDefault="00B92F81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Dec</w:t>
      </w:r>
      <w:r w:rsidR="00B526A7">
        <w:rPr>
          <w:rFonts w:ascii="Open Sans" w:eastAsia="Times New Roman" w:hAnsi="Open Sans" w:cs="Open Sans"/>
          <w:lang w:eastAsia="en-GB"/>
        </w:rPr>
        <w:t>ember</w:t>
      </w:r>
      <w:r w:rsidR="0069473B">
        <w:rPr>
          <w:rFonts w:ascii="Open Sans" w:eastAsia="Times New Roman" w:hAnsi="Open Sans" w:cs="Open Sans"/>
          <w:lang w:eastAsia="en-GB"/>
        </w:rPr>
        <w:t xml:space="preserve"> 202</w:t>
      </w:r>
      <w:r w:rsidR="007A4800">
        <w:rPr>
          <w:rFonts w:ascii="Open Sans" w:eastAsia="Times New Roman" w:hAnsi="Open Sans" w:cs="Open Sans"/>
          <w:lang w:eastAsia="en-GB"/>
        </w:rPr>
        <w:t>2</w:t>
      </w:r>
    </w:p>
    <w:sectPr w:rsidR="0069473B" w:rsidRPr="0069473B" w:rsidSect="00755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59D3" w14:textId="77777777" w:rsidR="00DF7B59" w:rsidRDefault="00DF7B59" w:rsidP="006A35B1">
      <w:pPr>
        <w:spacing w:after="0" w:line="240" w:lineRule="auto"/>
      </w:pPr>
      <w:r>
        <w:separator/>
      </w:r>
    </w:p>
  </w:endnote>
  <w:endnote w:type="continuationSeparator" w:id="0">
    <w:p w14:paraId="12A8E937" w14:textId="77777777" w:rsidR="00DF7B59" w:rsidRDefault="00DF7B59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0FA8" w14:textId="77777777" w:rsidR="00DF7B59" w:rsidRDefault="00DF7B59" w:rsidP="006A35B1">
      <w:pPr>
        <w:spacing w:after="0" w:line="240" w:lineRule="auto"/>
      </w:pPr>
      <w:r>
        <w:separator/>
      </w:r>
    </w:p>
  </w:footnote>
  <w:footnote w:type="continuationSeparator" w:id="0">
    <w:p w14:paraId="38892E95" w14:textId="77777777" w:rsidR="00DF7B59" w:rsidRDefault="00DF7B59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638CB4D7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0580C76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260EF"/>
    <w:rsid w:val="00060772"/>
    <w:rsid w:val="00081D74"/>
    <w:rsid w:val="00083854"/>
    <w:rsid w:val="00096B41"/>
    <w:rsid w:val="000B6465"/>
    <w:rsid w:val="000E56BF"/>
    <w:rsid w:val="001008C9"/>
    <w:rsid w:val="00166D81"/>
    <w:rsid w:val="0019019D"/>
    <w:rsid w:val="002227E8"/>
    <w:rsid w:val="002319F6"/>
    <w:rsid w:val="002554C1"/>
    <w:rsid w:val="00306C20"/>
    <w:rsid w:val="00311C34"/>
    <w:rsid w:val="0032448B"/>
    <w:rsid w:val="0034436E"/>
    <w:rsid w:val="0036202C"/>
    <w:rsid w:val="003808CB"/>
    <w:rsid w:val="0038476A"/>
    <w:rsid w:val="003879ED"/>
    <w:rsid w:val="003C02DD"/>
    <w:rsid w:val="003D42B2"/>
    <w:rsid w:val="004062F6"/>
    <w:rsid w:val="00420095"/>
    <w:rsid w:val="004B7440"/>
    <w:rsid w:val="004D0BB3"/>
    <w:rsid w:val="004E4D92"/>
    <w:rsid w:val="004F3C0A"/>
    <w:rsid w:val="004F660C"/>
    <w:rsid w:val="00502191"/>
    <w:rsid w:val="00566A1D"/>
    <w:rsid w:val="00571DB8"/>
    <w:rsid w:val="00575E76"/>
    <w:rsid w:val="005938E5"/>
    <w:rsid w:val="005A7790"/>
    <w:rsid w:val="005B1A6A"/>
    <w:rsid w:val="005E32D3"/>
    <w:rsid w:val="005F03F0"/>
    <w:rsid w:val="005F1F9A"/>
    <w:rsid w:val="005F4A50"/>
    <w:rsid w:val="006107DE"/>
    <w:rsid w:val="0064560B"/>
    <w:rsid w:val="00672EA8"/>
    <w:rsid w:val="00683908"/>
    <w:rsid w:val="0069473B"/>
    <w:rsid w:val="006A35B1"/>
    <w:rsid w:val="006A3760"/>
    <w:rsid w:val="006A67E9"/>
    <w:rsid w:val="006D136C"/>
    <w:rsid w:val="006F69D8"/>
    <w:rsid w:val="00702441"/>
    <w:rsid w:val="007029E2"/>
    <w:rsid w:val="00732FA4"/>
    <w:rsid w:val="00755F3A"/>
    <w:rsid w:val="0076122A"/>
    <w:rsid w:val="007759E2"/>
    <w:rsid w:val="0077673C"/>
    <w:rsid w:val="00780A3A"/>
    <w:rsid w:val="0078317B"/>
    <w:rsid w:val="0079642A"/>
    <w:rsid w:val="007A4800"/>
    <w:rsid w:val="007B4D0F"/>
    <w:rsid w:val="007C0DC2"/>
    <w:rsid w:val="007D1E9D"/>
    <w:rsid w:val="007E43A8"/>
    <w:rsid w:val="00823808"/>
    <w:rsid w:val="00826EC8"/>
    <w:rsid w:val="008A7C3A"/>
    <w:rsid w:val="008B58E3"/>
    <w:rsid w:val="00906913"/>
    <w:rsid w:val="00934F09"/>
    <w:rsid w:val="00951BE8"/>
    <w:rsid w:val="0096041E"/>
    <w:rsid w:val="0096483B"/>
    <w:rsid w:val="00964B0C"/>
    <w:rsid w:val="009C2BA7"/>
    <w:rsid w:val="009C6556"/>
    <w:rsid w:val="009E5867"/>
    <w:rsid w:val="00A24003"/>
    <w:rsid w:val="00A37BF9"/>
    <w:rsid w:val="00A66A9D"/>
    <w:rsid w:val="00A80E76"/>
    <w:rsid w:val="00AB1183"/>
    <w:rsid w:val="00AE2E4D"/>
    <w:rsid w:val="00B526A7"/>
    <w:rsid w:val="00B8608B"/>
    <w:rsid w:val="00B92F81"/>
    <w:rsid w:val="00BB5BA7"/>
    <w:rsid w:val="00BB7038"/>
    <w:rsid w:val="00BC4B62"/>
    <w:rsid w:val="00CA708F"/>
    <w:rsid w:val="00CE24F9"/>
    <w:rsid w:val="00CF078F"/>
    <w:rsid w:val="00D364D9"/>
    <w:rsid w:val="00D50AA4"/>
    <w:rsid w:val="00D56687"/>
    <w:rsid w:val="00DE461A"/>
    <w:rsid w:val="00DF1D8E"/>
    <w:rsid w:val="00DF7B59"/>
    <w:rsid w:val="00E21D21"/>
    <w:rsid w:val="00E459B9"/>
    <w:rsid w:val="00E5001C"/>
    <w:rsid w:val="00E54161"/>
    <w:rsid w:val="00E87123"/>
    <w:rsid w:val="00F30D1D"/>
    <w:rsid w:val="00F33907"/>
    <w:rsid w:val="00F9409D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12</cp:revision>
  <cp:lastPrinted>2015-12-13T12:33:00Z</cp:lastPrinted>
  <dcterms:created xsi:type="dcterms:W3CDTF">2022-12-12T14:14:00Z</dcterms:created>
  <dcterms:modified xsi:type="dcterms:W3CDTF">2022-12-16T18:04:00Z</dcterms:modified>
</cp:coreProperties>
</file>