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371736" w:rsidR="00A81A3D" w:rsidRPr="00FC615E" w:rsidRDefault="00FC615E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FC615E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Chair of the Diocesan Safeguarding Advisory </w:t>
      </w:r>
      <w:r w:rsidR="0039299F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Panel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398C2674" w14:textId="77777777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568FC582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2E9FDF26" w14:textId="29C2E67D" w:rsidR="00AB61A9" w:rsidRPr="00AB61A9" w:rsidRDefault="00AB61A9" w:rsidP="00AB61A9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work with the Diocesan Bishop, the senior staff team, The Diocesan Safeguarding </w:t>
      </w:r>
      <w:proofErr w:type="gramStart"/>
      <w:r>
        <w:rPr>
          <w:rFonts w:ascii="Open Sans" w:hAnsi="Open Sans"/>
          <w:u w:color="000000"/>
          <w:lang w:val="en-US"/>
        </w:rPr>
        <w:t>Adviser</w:t>
      </w:r>
      <w:proofErr w:type="gramEnd"/>
      <w:r>
        <w:rPr>
          <w:rFonts w:ascii="Open Sans" w:hAnsi="Open Sans"/>
          <w:u w:color="000000"/>
          <w:lang w:val="en-US"/>
        </w:rPr>
        <w:t xml:space="preserve"> and members of the Diocesan Safeguarding Advisory </w:t>
      </w:r>
      <w:r w:rsidR="0039299F">
        <w:rPr>
          <w:rFonts w:ascii="Open Sans" w:hAnsi="Open Sans"/>
          <w:u w:color="000000"/>
          <w:lang w:val="en-US"/>
        </w:rPr>
        <w:t>Panel</w:t>
      </w:r>
      <w:r>
        <w:rPr>
          <w:rFonts w:ascii="Open Sans" w:hAnsi="Open Sans"/>
          <w:u w:color="000000"/>
          <w:lang w:val="en-US"/>
        </w:rPr>
        <w:t xml:space="preserve"> (</w:t>
      </w:r>
      <w:r w:rsidR="0039299F">
        <w:rPr>
          <w:rFonts w:ascii="Open Sans" w:hAnsi="Open Sans"/>
          <w:u w:color="000000"/>
          <w:lang w:val="en-US"/>
        </w:rPr>
        <w:t>DSAP</w:t>
      </w:r>
      <w:r>
        <w:rPr>
          <w:rFonts w:ascii="Open Sans" w:hAnsi="Open Sans"/>
          <w:u w:color="000000"/>
          <w:lang w:val="en-US"/>
        </w:rPr>
        <w:t>) to e</w:t>
      </w:r>
      <w:r w:rsidRPr="00AB61A9">
        <w:rPr>
          <w:rFonts w:ascii="Open Sans" w:hAnsi="Open Sans"/>
          <w:u w:color="000000"/>
          <w:lang w:val="en-US"/>
        </w:rPr>
        <w:t xml:space="preserve">nsure that the </w:t>
      </w:r>
      <w:r w:rsidR="0039299F">
        <w:rPr>
          <w:rFonts w:ascii="Open Sans" w:hAnsi="Open Sans"/>
          <w:u w:color="000000"/>
          <w:lang w:val="en-US"/>
        </w:rPr>
        <w:t>DSAP</w:t>
      </w:r>
      <w:r w:rsidRPr="00AB61A9">
        <w:rPr>
          <w:rFonts w:ascii="Open Sans" w:hAnsi="Open Sans"/>
          <w:u w:color="000000"/>
          <w:lang w:val="en-US"/>
        </w:rPr>
        <w:t>’s advisory and scrutiny functions are carried out</w:t>
      </w:r>
      <w:r>
        <w:rPr>
          <w:rFonts w:ascii="Open Sans" w:hAnsi="Open Sans"/>
          <w:u w:color="000000"/>
          <w:lang w:val="en-US"/>
        </w:rPr>
        <w:t xml:space="preserve"> </w:t>
      </w:r>
      <w:r w:rsidRPr="00AB61A9">
        <w:rPr>
          <w:rFonts w:ascii="Open Sans" w:hAnsi="Open Sans"/>
          <w:u w:color="000000"/>
          <w:lang w:val="en-US"/>
        </w:rPr>
        <w:t>effectively.</w:t>
      </w:r>
    </w:p>
    <w:p w14:paraId="3E6CD10A" w14:textId="48ACC116" w:rsidR="00A81A3D" w:rsidRDefault="00A81A3D" w:rsidP="00AB61A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0981A6F5" w14:textId="4DEEB4BC" w:rsidR="0027397E" w:rsidRDefault="0027397E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1CAC2F3" w14:textId="0BA079ED" w:rsidR="00D64815" w:rsidRPr="00D64815" w:rsidRDefault="00D64815" w:rsidP="00D64815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To c</w:t>
      </w:r>
      <w:r w:rsidRPr="00D64815">
        <w:rPr>
          <w:rFonts w:ascii="Open Sans" w:eastAsia="Open Sans" w:hAnsi="Open Sans" w:cs="Open Sans"/>
          <w:u w:color="000000"/>
          <w:lang w:val="en-US"/>
        </w:rPr>
        <w:t>hair</w:t>
      </w:r>
      <w:r>
        <w:rPr>
          <w:rFonts w:ascii="Open Sans" w:eastAsia="Open Sans" w:hAnsi="Open Sans" w:cs="Open Sans"/>
          <w:u w:color="000000"/>
          <w:lang w:val="en-US"/>
        </w:rPr>
        <w:t xml:space="preserve"> meetings of the</w:t>
      </w:r>
      <w:r w:rsidRPr="00D64815"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Diocesan Safeguarding Advisory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 (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>
        <w:rPr>
          <w:rFonts w:ascii="Open Sans" w:eastAsia="Open Sans" w:hAnsi="Open Sans" w:cs="Open Sans"/>
          <w:u w:color="000000"/>
          <w:lang w:val="en-US"/>
        </w:rPr>
        <w:t>)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, </w:t>
      </w:r>
      <w:r>
        <w:rPr>
          <w:rFonts w:ascii="Open Sans" w:eastAsia="Open Sans" w:hAnsi="Open Sans" w:cs="Open Sans"/>
          <w:u w:color="000000"/>
          <w:lang w:val="en-US"/>
        </w:rPr>
        <w:t xml:space="preserve">including, </w:t>
      </w:r>
      <w:r w:rsidRPr="00D64815">
        <w:rPr>
          <w:rFonts w:ascii="Open Sans" w:eastAsia="Open Sans" w:hAnsi="Open Sans" w:cs="Open Sans"/>
          <w:u w:color="000000"/>
          <w:lang w:val="en-US"/>
        </w:rPr>
        <w:t>where appropriate any additional DSAP meetings convened as a</w:t>
      </w:r>
      <w:r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>response to specific circumstances.</w:t>
      </w:r>
    </w:p>
    <w:p w14:paraId="0806F30C" w14:textId="620415F2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provide effective leadership to DSAP, including agreeing the agenda with the </w:t>
      </w:r>
      <w:r w:rsidR="00D14CD9">
        <w:rPr>
          <w:rFonts w:ascii="Open Sans" w:eastAsia="Open Sans" w:hAnsi="Open Sans" w:cs="Open Sans"/>
          <w:u w:color="000000"/>
          <w:lang w:val="en-US"/>
        </w:rPr>
        <w:t>Diocesan Safeguarding Adviser (</w:t>
      </w:r>
      <w:r w:rsidRPr="0027397E">
        <w:rPr>
          <w:rFonts w:ascii="Open Sans" w:eastAsia="Open Sans" w:hAnsi="Open Sans" w:cs="Open Sans"/>
          <w:u w:color="000000"/>
          <w:lang w:val="en-US"/>
        </w:rPr>
        <w:t>DSA</w:t>
      </w:r>
      <w:r w:rsidR="00D14CD9">
        <w:rPr>
          <w:rFonts w:ascii="Open Sans" w:eastAsia="Open Sans" w:hAnsi="Open Sans" w:cs="Open Sans"/>
          <w:u w:color="000000"/>
          <w:lang w:val="en-US"/>
        </w:rPr>
        <w:t>)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,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agreeing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signing off minutes/action plans, chairing the meetings and monitoring the follow-up actions.</w:t>
      </w:r>
    </w:p>
    <w:p w14:paraId="4FA00E83" w14:textId="6AEA9C84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discharges it role and functions in line with the terms of reference.</w:t>
      </w:r>
    </w:p>
    <w:p w14:paraId="61DF7362" w14:textId="2337407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ensure that there are clear safeguarding arrangements in place (and where appropriate a Service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level agreement) between the diocese and those parts of the Church in the </w:t>
      </w:r>
      <w:r w:rsidR="00B618B1">
        <w:rPr>
          <w:rFonts w:ascii="Open Sans" w:eastAsia="Open Sans" w:hAnsi="Open Sans" w:cs="Open Sans"/>
          <w:u w:color="000000"/>
          <w:lang w:val="en-US"/>
        </w:rPr>
        <w:t>D</w:t>
      </w:r>
      <w:r w:rsidRPr="0027397E">
        <w:rPr>
          <w:rFonts w:ascii="Open Sans" w:eastAsia="Open Sans" w:hAnsi="Open Sans" w:cs="Open Sans"/>
          <w:u w:color="000000"/>
          <w:lang w:val="en-US"/>
        </w:rPr>
        <w:t>iocese with their own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decision-making bodies e.g. the Cathedral and advise on any necessary action.</w:t>
      </w:r>
    </w:p>
    <w:p w14:paraId="5C72687F" w14:textId="062D492E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work with the DSA and senior staff 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has a strategic overview of safeguarding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practice across the diocese in line with the House of Bishops’ policy and practice guidance, together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with appropriate quality assurance and risk management processes. This will include ensuring that an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up to date safeguarding strategy is in place and is regularly reviewed.</w:t>
      </w:r>
    </w:p>
    <w:p w14:paraId="52F959E5" w14:textId="19D0C521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considers the needs and views of victims/survivors and there is a suitable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professional member who is familiar with these needs and views, who can be the voice of survivor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>s.</w:t>
      </w:r>
    </w:p>
    <w:p w14:paraId="1FB81CF3" w14:textId="7175387C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considers the needs and views of children, young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people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 vulnerable adults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in its work and that all these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s are appropriately represented on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.</w:t>
      </w:r>
    </w:p>
    <w:p w14:paraId="124EA7C4" w14:textId="13F8B72A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work with the DSA and senior staff involved in the recruitment of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members and of paid staff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in the Diocesan Safeguarding Team to ensure that there are adequate resources; that there is sufficient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capacity and diversity of skills set and experience/background of members to provide a high-quality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safeguarding service to the Diocese.</w:t>
      </w:r>
    </w:p>
    <w:p w14:paraId="47978785" w14:textId="681B54D0" w:rsidR="00123877" w:rsidRPr="0027397E" w:rsidRDefault="00123877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</w:t>
      </w:r>
      <w:r w:rsidRPr="00123877">
        <w:rPr>
          <w:rFonts w:ascii="Open Sans" w:eastAsia="Open Sans" w:hAnsi="Open Sans" w:cs="Open Sans"/>
          <w:u w:color="000000"/>
          <w:lang w:val="en-US"/>
        </w:rPr>
        <w:t>o be willing to be available for regular meetings with the DSA in line with Practice Guidance requirements of the role.</w:t>
      </w:r>
    </w:p>
    <w:p w14:paraId="6D6109A8" w14:textId="5CFEFEA6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advise, where necessary, the Diocesan Bishop, and/or Diocesan Secretary on specific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relating to the D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iocesan </w:t>
      </w:r>
      <w:r w:rsidRPr="00D14CD9">
        <w:rPr>
          <w:rFonts w:ascii="Open Sans" w:eastAsia="Open Sans" w:hAnsi="Open Sans" w:cs="Open Sans"/>
          <w:u w:color="000000"/>
          <w:lang w:val="en-US"/>
        </w:rPr>
        <w:t>S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afeguarding </w:t>
      </w:r>
      <w:r w:rsidRPr="00D14CD9">
        <w:rPr>
          <w:rFonts w:ascii="Open Sans" w:eastAsia="Open Sans" w:hAnsi="Open Sans" w:cs="Open Sans"/>
          <w:u w:color="000000"/>
          <w:lang w:val="en-US"/>
        </w:rPr>
        <w:t>T</w:t>
      </w:r>
      <w:r w:rsidR="00D14CD9">
        <w:rPr>
          <w:rFonts w:ascii="Open Sans" w:eastAsia="Open Sans" w:hAnsi="Open Sans" w:cs="Open Sans"/>
          <w:u w:color="000000"/>
          <w:lang w:val="en-US"/>
        </w:rPr>
        <w:t>eam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and or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>. Where appropriate to raise and report any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as part of whistle blowing arrangements, including to the National Safeguarding Team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if necessary</w:t>
      </w:r>
      <w:r w:rsidR="00D14CD9">
        <w:rPr>
          <w:rFonts w:ascii="Open Sans" w:eastAsia="Open Sans" w:hAnsi="Open Sans" w:cs="Open Sans"/>
          <w:u w:color="000000"/>
          <w:lang w:val="en-US"/>
        </w:rPr>
        <w:t>.</w:t>
      </w:r>
    </w:p>
    <w:p w14:paraId="3EBC59CF" w14:textId="3FB10350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lastRenderedPageBreak/>
        <w:t>To engage in the Independent Chairs’ national and regional network meetings, as required.</w:t>
      </w:r>
    </w:p>
    <w:p w14:paraId="313C9180" w14:textId="45452C59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respond to correspondence sent to the Independent Chair, with support where appropriate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from officers of the Diocese.</w:t>
      </w:r>
    </w:p>
    <w:p w14:paraId="0AE56A93" w14:textId="59F3138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produce with the assistance of the DSA an annual report for Bishop’s Council, Cathedral Chapter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and Diocesan Synod on the work of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, advising and making recommendations on the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development and effectiveness of safeguarding arrangements.</w:t>
      </w:r>
    </w:p>
    <w:p w14:paraId="59985ED2" w14:textId="19B16529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receives and discusses information and themes from Quality Assurance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processes, self-assessments, lessons learnt reviews, independent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audits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 file audits to make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recommendations for improving safeguarding arrangements as needed.</w:t>
      </w:r>
    </w:p>
    <w:p w14:paraId="45828B65" w14:textId="3C2A6FB1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430BB683" w14:textId="336597E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B826538" w14:textId="3471F46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2BAE6B2" w14:textId="27310020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15AD3D6D" w:rsidR="00B618B1" w:rsidRPr="0027397E" w:rsidRDefault="00681796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January</w:t>
      </w:r>
      <w:r w:rsidR="00B618B1">
        <w:rPr>
          <w:rFonts w:ascii="Open Sans" w:eastAsia="Open Sans" w:hAnsi="Open Sans" w:cs="Open Sans"/>
          <w:u w:color="000000"/>
          <w:lang w:val="en-US"/>
        </w:rPr>
        <w:t xml:space="preserve"> 202</w:t>
      </w:r>
      <w:r>
        <w:rPr>
          <w:rFonts w:ascii="Open Sans" w:eastAsia="Open Sans" w:hAnsi="Open Sans" w:cs="Open Sans"/>
          <w:u w:color="000000"/>
          <w:lang w:val="en-US"/>
        </w:rPr>
        <w:t>1</w:t>
      </w:r>
    </w:p>
    <w:sectPr w:rsidR="00B618B1" w:rsidRPr="0027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D355" w14:textId="77777777" w:rsidR="00143699" w:rsidRDefault="00143699">
      <w:r>
        <w:separator/>
      </w:r>
    </w:p>
  </w:endnote>
  <w:endnote w:type="continuationSeparator" w:id="0">
    <w:p w14:paraId="201461E5" w14:textId="77777777" w:rsidR="00143699" w:rsidRDefault="001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381F" w14:textId="77777777" w:rsidR="00143699" w:rsidRDefault="00143699">
      <w:r>
        <w:separator/>
      </w:r>
    </w:p>
  </w:footnote>
  <w:footnote w:type="continuationSeparator" w:id="0">
    <w:p w14:paraId="484703D6" w14:textId="77777777" w:rsidR="00143699" w:rsidRDefault="0014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1C635C9A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3115E6"/>
    <w:multiLevelType w:val="hybridMultilevel"/>
    <w:tmpl w:val="C76C0E22"/>
    <w:numStyleLink w:val="ImportedStyle2"/>
  </w:abstractNum>
  <w:abstractNum w:abstractNumId="3" w15:restartNumberingAfterBreak="0">
    <w:nsid w:val="6F986B8C"/>
    <w:multiLevelType w:val="hybridMultilevel"/>
    <w:tmpl w:val="8BA01AB4"/>
    <w:numStyleLink w:val="ImportedStyle1"/>
  </w:abstractNum>
  <w:abstractNum w:abstractNumId="4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23877"/>
    <w:rsid w:val="00143699"/>
    <w:rsid w:val="00151819"/>
    <w:rsid w:val="0027397E"/>
    <w:rsid w:val="00365F36"/>
    <w:rsid w:val="0039299F"/>
    <w:rsid w:val="00427E9E"/>
    <w:rsid w:val="00681796"/>
    <w:rsid w:val="006B72D4"/>
    <w:rsid w:val="006C41F6"/>
    <w:rsid w:val="00724A9D"/>
    <w:rsid w:val="00887361"/>
    <w:rsid w:val="00933AEC"/>
    <w:rsid w:val="00A81A3D"/>
    <w:rsid w:val="00AB61A9"/>
    <w:rsid w:val="00B618B1"/>
    <w:rsid w:val="00D14CD9"/>
    <w:rsid w:val="00D16ECB"/>
    <w:rsid w:val="00D64815"/>
    <w:rsid w:val="00DA7C83"/>
    <w:rsid w:val="00EF18FC"/>
    <w:rsid w:val="00FA4809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geddes</cp:lastModifiedBy>
  <cp:revision>20</cp:revision>
  <dcterms:created xsi:type="dcterms:W3CDTF">2020-12-02T10:20:00Z</dcterms:created>
  <dcterms:modified xsi:type="dcterms:W3CDTF">2021-01-20T11:24:00Z</dcterms:modified>
</cp:coreProperties>
</file>