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2E4" w:rsidRDefault="00AF42E4" w:rsidP="00AF42E4">
      <w:pPr>
        <w:jc w:val="center"/>
        <w:rPr>
          <w:b/>
          <w:sz w:val="32"/>
          <w:szCs w:val="32"/>
        </w:rPr>
      </w:pPr>
    </w:p>
    <w:p w:rsidR="007A24E9" w:rsidRPr="00375D87" w:rsidRDefault="007A24E9" w:rsidP="007A24E9">
      <w:pPr>
        <w:jc w:val="center"/>
        <w:rPr>
          <w:b/>
          <w:sz w:val="32"/>
          <w:szCs w:val="32"/>
        </w:rPr>
      </w:pPr>
    </w:p>
    <w:p w:rsidR="007A24E9" w:rsidRPr="00375D87" w:rsidRDefault="007A24E9" w:rsidP="007A24E9">
      <w:pPr>
        <w:jc w:val="center"/>
        <w:rPr>
          <w:b/>
          <w:sz w:val="32"/>
          <w:szCs w:val="32"/>
        </w:rPr>
      </w:pPr>
      <w:r w:rsidRPr="00375D87">
        <w:rPr>
          <w:b/>
          <w:sz w:val="32"/>
          <w:szCs w:val="32"/>
        </w:rPr>
        <w:t>ST PETER’S HALE</w:t>
      </w:r>
    </w:p>
    <w:p w:rsidR="007A24E9" w:rsidRPr="00375D87" w:rsidRDefault="007A24E9" w:rsidP="007A24E9">
      <w:pPr>
        <w:jc w:val="center"/>
        <w:rPr>
          <w:b/>
          <w:sz w:val="32"/>
          <w:szCs w:val="32"/>
        </w:rPr>
      </w:pPr>
    </w:p>
    <w:p w:rsidR="007A24E9" w:rsidRPr="00375D87" w:rsidRDefault="007A24E9" w:rsidP="007A24E9">
      <w:pPr>
        <w:jc w:val="center"/>
        <w:rPr>
          <w:b/>
          <w:sz w:val="28"/>
          <w:szCs w:val="28"/>
        </w:rPr>
      </w:pPr>
      <w:r w:rsidRPr="00375D87">
        <w:rPr>
          <w:b/>
          <w:sz w:val="28"/>
          <w:szCs w:val="28"/>
        </w:rPr>
        <w:t xml:space="preserve">Annual Report </w:t>
      </w:r>
      <w:r w:rsidRPr="00375D87">
        <w:rPr>
          <w:b/>
          <w:sz w:val="28"/>
          <w:szCs w:val="28"/>
        </w:rPr>
        <w:br/>
      </w:r>
    </w:p>
    <w:p w:rsidR="007A24E9" w:rsidRDefault="007A24E9" w:rsidP="007A24E9">
      <w:pPr>
        <w:jc w:val="center"/>
        <w:rPr>
          <w:b/>
          <w:sz w:val="28"/>
          <w:szCs w:val="28"/>
        </w:rPr>
      </w:pPr>
      <w:r w:rsidRPr="00375D87">
        <w:rPr>
          <w:b/>
          <w:sz w:val="28"/>
          <w:szCs w:val="28"/>
        </w:rPr>
        <w:t xml:space="preserve">and </w:t>
      </w:r>
    </w:p>
    <w:p w:rsidR="007A24E9" w:rsidRPr="00375D87" w:rsidRDefault="007A24E9" w:rsidP="007A24E9">
      <w:pPr>
        <w:jc w:val="center"/>
        <w:rPr>
          <w:b/>
          <w:sz w:val="28"/>
          <w:szCs w:val="28"/>
        </w:rPr>
      </w:pPr>
      <w:r w:rsidRPr="00375D87">
        <w:rPr>
          <w:b/>
          <w:sz w:val="28"/>
          <w:szCs w:val="28"/>
        </w:rPr>
        <w:br/>
        <w:t>Financial Statements</w:t>
      </w:r>
    </w:p>
    <w:p w:rsidR="007A24E9" w:rsidRPr="00375D87" w:rsidRDefault="007A24E9" w:rsidP="007A24E9">
      <w:pPr>
        <w:jc w:val="center"/>
        <w:rPr>
          <w:b/>
          <w:sz w:val="28"/>
          <w:szCs w:val="28"/>
        </w:rPr>
      </w:pPr>
    </w:p>
    <w:p w:rsidR="007A24E9" w:rsidRPr="00375D87" w:rsidRDefault="007A24E9" w:rsidP="007A24E9">
      <w:pPr>
        <w:jc w:val="center"/>
        <w:rPr>
          <w:b/>
          <w:sz w:val="28"/>
          <w:szCs w:val="28"/>
        </w:rPr>
      </w:pPr>
      <w:r w:rsidRPr="00375D87">
        <w:rPr>
          <w:b/>
          <w:sz w:val="28"/>
          <w:szCs w:val="28"/>
        </w:rPr>
        <w:t>of the</w:t>
      </w:r>
      <w:r w:rsidRPr="00375D87">
        <w:rPr>
          <w:b/>
          <w:sz w:val="28"/>
          <w:szCs w:val="28"/>
        </w:rPr>
        <w:br/>
      </w:r>
    </w:p>
    <w:p w:rsidR="007A24E9" w:rsidRPr="00375D87" w:rsidRDefault="007A24E9" w:rsidP="007A24E9">
      <w:pPr>
        <w:jc w:val="center"/>
        <w:rPr>
          <w:b/>
          <w:sz w:val="32"/>
          <w:szCs w:val="32"/>
        </w:rPr>
      </w:pPr>
      <w:r w:rsidRPr="00375D87">
        <w:rPr>
          <w:b/>
          <w:sz w:val="28"/>
          <w:szCs w:val="28"/>
        </w:rPr>
        <w:t>Parochial Church Council</w:t>
      </w:r>
    </w:p>
    <w:p w:rsidR="007A24E9" w:rsidRPr="00375D87" w:rsidRDefault="007A24E9" w:rsidP="007A24E9">
      <w:pPr>
        <w:jc w:val="center"/>
        <w:rPr>
          <w:b/>
          <w:sz w:val="28"/>
          <w:szCs w:val="28"/>
        </w:rPr>
      </w:pPr>
    </w:p>
    <w:p w:rsidR="007A24E9" w:rsidRPr="00375D87" w:rsidRDefault="007A24E9" w:rsidP="007A24E9">
      <w:pPr>
        <w:jc w:val="center"/>
        <w:rPr>
          <w:sz w:val="28"/>
          <w:szCs w:val="28"/>
        </w:rPr>
      </w:pPr>
      <w:r w:rsidRPr="00375D87">
        <w:rPr>
          <w:sz w:val="28"/>
          <w:szCs w:val="28"/>
        </w:rPr>
        <w:t>For the year ended 31 December 201</w:t>
      </w:r>
      <w:r w:rsidR="007B29E3">
        <w:rPr>
          <w:sz w:val="28"/>
          <w:szCs w:val="28"/>
        </w:rPr>
        <w:t>7</w:t>
      </w:r>
    </w:p>
    <w:p w:rsidR="007A24E9" w:rsidRPr="00375D87" w:rsidRDefault="007A24E9" w:rsidP="007A24E9">
      <w:pPr>
        <w:jc w:val="center"/>
        <w:rPr>
          <w:b/>
          <w:sz w:val="28"/>
          <w:szCs w:val="28"/>
        </w:rPr>
      </w:pPr>
    </w:p>
    <w:p w:rsidR="007A24E9" w:rsidRPr="00375D87" w:rsidRDefault="007A24E9" w:rsidP="007A24E9">
      <w:pPr>
        <w:jc w:val="center"/>
        <w:rPr>
          <w:b/>
          <w:sz w:val="28"/>
          <w:szCs w:val="28"/>
        </w:rPr>
      </w:pPr>
    </w:p>
    <w:p w:rsidR="007A24E9" w:rsidRPr="00375D87" w:rsidRDefault="007A24E9" w:rsidP="007A24E9">
      <w:pPr>
        <w:jc w:val="center"/>
        <w:rPr>
          <w:b/>
          <w:sz w:val="28"/>
          <w:szCs w:val="28"/>
        </w:rPr>
      </w:pPr>
      <w:r w:rsidRPr="00375D87">
        <w:rPr>
          <w:b/>
          <w:sz w:val="28"/>
          <w:szCs w:val="28"/>
        </w:rPr>
        <w:t>Incumbent:</w:t>
      </w:r>
    </w:p>
    <w:p w:rsidR="007A24E9" w:rsidRPr="00375D87" w:rsidRDefault="007A24E9" w:rsidP="007A24E9">
      <w:pPr>
        <w:jc w:val="center"/>
        <w:rPr>
          <w:sz w:val="28"/>
          <w:szCs w:val="28"/>
        </w:rPr>
      </w:pPr>
      <w:r w:rsidRPr="00375D87">
        <w:rPr>
          <w:sz w:val="28"/>
          <w:szCs w:val="28"/>
        </w:rPr>
        <w:t xml:space="preserve">Revd </w:t>
      </w:r>
      <w:r w:rsidR="000F0D5D">
        <w:rPr>
          <w:sz w:val="28"/>
          <w:szCs w:val="28"/>
        </w:rPr>
        <w:t>Keith Addenbrooke</w:t>
      </w:r>
    </w:p>
    <w:p w:rsidR="007A24E9" w:rsidRPr="00375D87" w:rsidRDefault="007A24E9" w:rsidP="007A24E9">
      <w:pPr>
        <w:jc w:val="center"/>
        <w:rPr>
          <w:sz w:val="28"/>
          <w:szCs w:val="28"/>
        </w:rPr>
      </w:pPr>
      <w:r w:rsidRPr="00375D87">
        <w:rPr>
          <w:sz w:val="28"/>
          <w:szCs w:val="28"/>
        </w:rPr>
        <w:t>St Peter’s Vicarage</w:t>
      </w:r>
    </w:p>
    <w:p w:rsidR="007A24E9" w:rsidRPr="00375D87" w:rsidRDefault="007A24E9" w:rsidP="007A24E9">
      <w:pPr>
        <w:jc w:val="center"/>
        <w:rPr>
          <w:sz w:val="28"/>
          <w:szCs w:val="28"/>
        </w:rPr>
      </w:pPr>
      <w:r w:rsidRPr="00375D87">
        <w:rPr>
          <w:sz w:val="28"/>
          <w:szCs w:val="28"/>
        </w:rPr>
        <w:t>1 Harrop Road</w:t>
      </w:r>
    </w:p>
    <w:p w:rsidR="007A24E9" w:rsidRPr="00375D87" w:rsidRDefault="007A24E9" w:rsidP="007A24E9">
      <w:pPr>
        <w:jc w:val="center"/>
        <w:rPr>
          <w:sz w:val="28"/>
          <w:szCs w:val="28"/>
        </w:rPr>
      </w:pPr>
      <w:r w:rsidRPr="00375D87">
        <w:rPr>
          <w:sz w:val="28"/>
          <w:szCs w:val="28"/>
        </w:rPr>
        <w:t>Hale</w:t>
      </w:r>
    </w:p>
    <w:p w:rsidR="007A24E9" w:rsidRPr="00375D87" w:rsidRDefault="007A24E9" w:rsidP="007A24E9">
      <w:pPr>
        <w:jc w:val="center"/>
        <w:rPr>
          <w:sz w:val="28"/>
          <w:szCs w:val="28"/>
        </w:rPr>
      </w:pPr>
      <w:r w:rsidRPr="00375D87">
        <w:rPr>
          <w:sz w:val="28"/>
          <w:szCs w:val="28"/>
        </w:rPr>
        <w:t>Altrincham</w:t>
      </w:r>
    </w:p>
    <w:p w:rsidR="007A24E9" w:rsidRPr="00375D87" w:rsidRDefault="007A24E9" w:rsidP="007A24E9">
      <w:pPr>
        <w:jc w:val="center"/>
        <w:rPr>
          <w:sz w:val="28"/>
          <w:szCs w:val="28"/>
        </w:rPr>
      </w:pPr>
      <w:r w:rsidRPr="00375D87">
        <w:rPr>
          <w:sz w:val="28"/>
          <w:szCs w:val="28"/>
        </w:rPr>
        <w:t>Cheshire</w:t>
      </w:r>
    </w:p>
    <w:p w:rsidR="007A24E9" w:rsidRPr="00375D87" w:rsidRDefault="007A24E9" w:rsidP="007A24E9">
      <w:pPr>
        <w:jc w:val="center"/>
        <w:rPr>
          <w:sz w:val="28"/>
          <w:szCs w:val="28"/>
        </w:rPr>
      </w:pPr>
      <w:r w:rsidRPr="00375D87">
        <w:rPr>
          <w:sz w:val="28"/>
          <w:szCs w:val="28"/>
        </w:rPr>
        <w:t>WA15 9BU</w:t>
      </w:r>
    </w:p>
    <w:p w:rsidR="007A24E9" w:rsidRPr="00375D87" w:rsidRDefault="007A24E9" w:rsidP="007A24E9">
      <w:pPr>
        <w:jc w:val="center"/>
        <w:rPr>
          <w:sz w:val="28"/>
          <w:szCs w:val="28"/>
        </w:rPr>
      </w:pPr>
    </w:p>
    <w:p w:rsidR="007A24E9" w:rsidRPr="00375D87" w:rsidRDefault="007A24E9" w:rsidP="007A24E9">
      <w:pPr>
        <w:jc w:val="center"/>
        <w:rPr>
          <w:b/>
          <w:sz w:val="28"/>
          <w:szCs w:val="28"/>
        </w:rPr>
      </w:pPr>
      <w:r w:rsidRPr="00375D87">
        <w:rPr>
          <w:b/>
          <w:sz w:val="28"/>
          <w:szCs w:val="28"/>
        </w:rPr>
        <w:t>Bank:</w:t>
      </w:r>
    </w:p>
    <w:p w:rsidR="007A24E9" w:rsidRPr="00375D87" w:rsidRDefault="007A24E9" w:rsidP="007A24E9">
      <w:pPr>
        <w:jc w:val="center"/>
        <w:rPr>
          <w:sz w:val="28"/>
          <w:szCs w:val="28"/>
        </w:rPr>
      </w:pPr>
      <w:r w:rsidRPr="00375D87">
        <w:rPr>
          <w:sz w:val="28"/>
          <w:szCs w:val="28"/>
        </w:rPr>
        <w:t>National Westminster Bank plc</w:t>
      </w:r>
    </w:p>
    <w:p w:rsidR="007A24E9" w:rsidRPr="00375D87" w:rsidRDefault="007A24E9" w:rsidP="007A24E9">
      <w:pPr>
        <w:jc w:val="center"/>
        <w:rPr>
          <w:sz w:val="28"/>
          <w:szCs w:val="28"/>
        </w:rPr>
      </w:pPr>
      <w:r w:rsidRPr="00375D87">
        <w:rPr>
          <w:sz w:val="28"/>
          <w:szCs w:val="28"/>
        </w:rPr>
        <w:t>23 Stamford New Road</w:t>
      </w:r>
    </w:p>
    <w:p w:rsidR="007A24E9" w:rsidRPr="00375D87" w:rsidRDefault="007A24E9" w:rsidP="007A24E9">
      <w:pPr>
        <w:jc w:val="center"/>
        <w:rPr>
          <w:sz w:val="28"/>
          <w:szCs w:val="28"/>
        </w:rPr>
      </w:pPr>
      <w:r w:rsidRPr="00375D87">
        <w:rPr>
          <w:sz w:val="28"/>
          <w:szCs w:val="28"/>
        </w:rPr>
        <w:t>Altrincham</w:t>
      </w:r>
    </w:p>
    <w:p w:rsidR="007A24E9" w:rsidRPr="00375D87" w:rsidRDefault="007A24E9" w:rsidP="007A24E9">
      <w:pPr>
        <w:jc w:val="center"/>
        <w:rPr>
          <w:sz w:val="28"/>
          <w:szCs w:val="28"/>
        </w:rPr>
      </w:pPr>
      <w:r w:rsidRPr="00375D87">
        <w:rPr>
          <w:sz w:val="28"/>
          <w:szCs w:val="28"/>
        </w:rPr>
        <w:t>Cheshire</w:t>
      </w:r>
    </w:p>
    <w:p w:rsidR="007A24E9" w:rsidRPr="00375D87" w:rsidRDefault="007A24E9" w:rsidP="007A24E9">
      <w:pPr>
        <w:jc w:val="center"/>
        <w:rPr>
          <w:sz w:val="28"/>
          <w:szCs w:val="28"/>
        </w:rPr>
      </w:pPr>
      <w:r w:rsidRPr="00375D87">
        <w:rPr>
          <w:sz w:val="28"/>
          <w:szCs w:val="28"/>
        </w:rPr>
        <w:t>WA14 1DB</w:t>
      </w:r>
    </w:p>
    <w:p w:rsidR="007A24E9" w:rsidRPr="00375D87" w:rsidRDefault="007A24E9" w:rsidP="007A24E9">
      <w:pPr>
        <w:jc w:val="center"/>
        <w:rPr>
          <w:sz w:val="28"/>
          <w:szCs w:val="28"/>
        </w:rPr>
      </w:pPr>
    </w:p>
    <w:p w:rsidR="007A24E9" w:rsidRPr="00375D87" w:rsidRDefault="007A24E9" w:rsidP="007A24E9">
      <w:pPr>
        <w:jc w:val="center"/>
        <w:rPr>
          <w:b/>
          <w:sz w:val="28"/>
          <w:szCs w:val="28"/>
        </w:rPr>
      </w:pPr>
      <w:r w:rsidRPr="00375D87">
        <w:rPr>
          <w:b/>
          <w:sz w:val="28"/>
          <w:szCs w:val="28"/>
        </w:rPr>
        <w:t>Independent Examiner:</w:t>
      </w:r>
    </w:p>
    <w:p w:rsidR="007A24E9" w:rsidRPr="00375D87" w:rsidRDefault="007A24E9" w:rsidP="007A24E9">
      <w:pPr>
        <w:jc w:val="center"/>
        <w:rPr>
          <w:sz w:val="28"/>
          <w:szCs w:val="28"/>
        </w:rPr>
      </w:pPr>
      <w:r w:rsidRPr="00375D87">
        <w:rPr>
          <w:sz w:val="28"/>
          <w:szCs w:val="28"/>
        </w:rPr>
        <w:t>UHY Hacker Young</w:t>
      </w:r>
    </w:p>
    <w:p w:rsidR="007A24E9" w:rsidRPr="00375D87" w:rsidRDefault="007A24E9" w:rsidP="007A24E9">
      <w:pPr>
        <w:jc w:val="center"/>
        <w:rPr>
          <w:sz w:val="28"/>
          <w:szCs w:val="28"/>
        </w:rPr>
      </w:pPr>
      <w:r w:rsidRPr="00375D87">
        <w:rPr>
          <w:sz w:val="28"/>
          <w:szCs w:val="28"/>
        </w:rPr>
        <w:t>St James Buildings</w:t>
      </w:r>
    </w:p>
    <w:p w:rsidR="007A24E9" w:rsidRPr="00375D87" w:rsidRDefault="007A24E9" w:rsidP="007A24E9">
      <w:pPr>
        <w:jc w:val="center"/>
        <w:rPr>
          <w:sz w:val="28"/>
          <w:szCs w:val="28"/>
        </w:rPr>
      </w:pPr>
      <w:r w:rsidRPr="00375D87">
        <w:rPr>
          <w:sz w:val="28"/>
          <w:szCs w:val="28"/>
        </w:rPr>
        <w:t>79 Oxford Street</w:t>
      </w:r>
    </w:p>
    <w:p w:rsidR="007A24E9" w:rsidRPr="00375D87" w:rsidRDefault="007A24E9" w:rsidP="007A24E9">
      <w:pPr>
        <w:jc w:val="center"/>
        <w:rPr>
          <w:sz w:val="28"/>
          <w:szCs w:val="28"/>
        </w:rPr>
      </w:pPr>
      <w:r w:rsidRPr="00375D87">
        <w:rPr>
          <w:sz w:val="28"/>
          <w:szCs w:val="28"/>
        </w:rPr>
        <w:t>Manchester</w:t>
      </w:r>
    </w:p>
    <w:p w:rsidR="007A24E9" w:rsidRPr="00375D87" w:rsidRDefault="007A24E9" w:rsidP="007A24E9">
      <w:pPr>
        <w:jc w:val="center"/>
        <w:rPr>
          <w:sz w:val="28"/>
          <w:szCs w:val="28"/>
        </w:rPr>
      </w:pPr>
      <w:r w:rsidRPr="00375D87">
        <w:rPr>
          <w:sz w:val="28"/>
          <w:szCs w:val="28"/>
        </w:rPr>
        <w:t>M1 6HT</w:t>
      </w:r>
    </w:p>
    <w:p w:rsidR="007A24E9" w:rsidRPr="00375D87" w:rsidRDefault="007A24E9" w:rsidP="007A24E9">
      <w:pPr>
        <w:rPr>
          <w:b/>
          <w:sz w:val="32"/>
          <w:szCs w:val="32"/>
        </w:rPr>
      </w:pPr>
    </w:p>
    <w:p w:rsidR="006B4108" w:rsidRPr="006B4108" w:rsidRDefault="006B4108" w:rsidP="007A24E9">
      <w:pPr>
        <w:rPr>
          <w:sz w:val="32"/>
          <w:szCs w:val="32"/>
          <w:u w:val="single"/>
        </w:rPr>
        <w:sectPr w:rsidR="006B4108" w:rsidRPr="006B4108" w:rsidSect="00F02F61">
          <w:headerReference w:type="default" r:id="rId8"/>
          <w:footerReference w:type="default" r:id="rId9"/>
          <w:pgSz w:w="11906" w:h="16838" w:code="9"/>
          <w:pgMar w:top="1134" w:right="707" w:bottom="1134" w:left="1134" w:header="709" w:footer="709" w:gutter="0"/>
          <w:cols w:space="708"/>
          <w:docGrid w:linePitch="360"/>
        </w:sect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7A24E9" w:rsidRPr="00F01382" w:rsidRDefault="007A24E9" w:rsidP="00F02F61">
      <w:pPr>
        <w:ind w:right="-472"/>
        <w:jc w:val="center"/>
        <w:rPr>
          <w:b/>
          <w:sz w:val="32"/>
          <w:szCs w:val="32"/>
        </w:rPr>
      </w:pPr>
      <w:r w:rsidRPr="00F01382">
        <w:rPr>
          <w:b/>
          <w:sz w:val="32"/>
          <w:szCs w:val="32"/>
        </w:rPr>
        <w:lastRenderedPageBreak/>
        <w:t xml:space="preserve">ST PETER’S HALE </w:t>
      </w:r>
      <w:r w:rsidRPr="00F01382">
        <w:rPr>
          <w:b/>
          <w:sz w:val="32"/>
          <w:szCs w:val="32"/>
        </w:rPr>
        <w:br/>
        <w:t>CHURCH ANNUAL REPORT FOR 201</w:t>
      </w:r>
      <w:r w:rsidR="007B29E3">
        <w:rPr>
          <w:b/>
          <w:sz w:val="32"/>
          <w:szCs w:val="32"/>
        </w:rPr>
        <w:t>7</w:t>
      </w:r>
    </w:p>
    <w:p w:rsidR="00AF60FE" w:rsidRDefault="00AF60FE" w:rsidP="007A24E9">
      <w:pPr>
        <w:rPr>
          <w:b/>
          <w:u w:val="single"/>
        </w:rPr>
      </w:pPr>
    </w:p>
    <w:p w:rsidR="007A24E9" w:rsidRPr="000819B8" w:rsidRDefault="00082CA8" w:rsidP="007A24E9">
      <w:pPr>
        <w:rPr>
          <w:b/>
          <w:u w:val="single"/>
        </w:rPr>
      </w:pPr>
      <w:r>
        <w:rPr>
          <w:b/>
          <w:u w:val="single"/>
        </w:rPr>
        <w:t>Objectives and Activities for the Public Benefit</w:t>
      </w:r>
    </w:p>
    <w:p w:rsidR="007A24E9" w:rsidRPr="000E50AE" w:rsidRDefault="007A24E9" w:rsidP="007A24E9">
      <w:pPr>
        <w:rPr>
          <w:color w:val="000000" w:themeColor="text1"/>
        </w:rPr>
      </w:pPr>
      <w:r w:rsidRPr="00831014">
        <w:t>St Peter’s P</w:t>
      </w:r>
      <w:r>
        <w:t xml:space="preserve">arochial </w:t>
      </w:r>
      <w:r w:rsidRPr="00831014">
        <w:t>C</w:t>
      </w:r>
      <w:r>
        <w:t xml:space="preserve">hurch </w:t>
      </w:r>
      <w:r w:rsidRPr="00831014">
        <w:t>C</w:t>
      </w:r>
      <w:r>
        <w:t>ouncil (PCC)</w:t>
      </w:r>
      <w:r w:rsidRPr="00831014">
        <w:t xml:space="preserve"> has the responsibility of co-operating with the incumbent, in promoting the ecclesiastical parish</w:t>
      </w:r>
      <w:r w:rsidR="00891525">
        <w:t xml:space="preserve"> and</w:t>
      </w:r>
      <w:r w:rsidRPr="00831014">
        <w:t xml:space="preserve"> the whole mission of the church, pastoral, evangelistic, social and ecumenical.  It also has maintenance responsibilities for the Church, St Peter’s House</w:t>
      </w:r>
      <w:r>
        <w:t>,</w:t>
      </w:r>
      <w:r w:rsidRPr="00831014">
        <w:t xml:space="preserve"> St Peter’s Assembly Rooms and School House</w:t>
      </w:r>
      <w:r w:rsidR="001513E3">
        <w:t>.</w:t>
      </w:r>
      <w:r w:rsidR="004005EB" w:rsidRPr="004005EB">
        <w:rPr>
          <w:color w:val="00B050"/>
        </w:rPr>
        <w:t xml:space="preserve"> </w:t>
      </w:r>
      <w:r w:rsidR="004005EB" w:rsidRPr="000E50AE">
        <w:rPr>
          <w:color w:val="000000" w:themeColor="text1"/>
        </w:rPr>
        <w:t>The Parish is joined for ministry in a United Benefice with St Elizabeth’s Ashley.  Each Parish has its own PCC and they are governed separately.</w:t>
      </w:r>
    </w:p>
    <w:p w:rsidR="007A24E9" w:rsidRPr="0015156C" w:rsidRDefault="007A24E9" w:rsidP="007A24E9"/>
    <w:p w:rsidR="007A24E9" w:rsidRPr="00082CA8" w:rsidRDefault="00082CA8" w:rsidP="007A24E9">
      <w:pPr>
        <w:jc w:val="both"/>
        <w:outlineLvl w:val="0"/>
        <w:rPr>
          <w:b/>
          <w:bCs/>
          <w:u w:val="single"/>
        </w:rPr>
      </w:pPr>
      <w:r w:rsidRPr="00082CA8">
        <w:rPr>
          <w:b/>
          <w:bCs/>
          <w:u w:val="single"/>
        </w:rPr>
        <w:t>Structure,</w:t>
      </w:r>
      <w:r>
        <w:rPr>
          <w:b/>
          <w:bCs/>
          <w:u w:val="single"/>
        </w:rPr>
        <w:t xml:space="preserve"> </w:t>
      </w:r>
      <w:r w:rsidRPr="00082CA8">
        <w:rPr>
          <w:b/>
          <w:bCs/>
          <w:u w:val="single"/>
        </w:rPr>
        <w:t>Governance and Management</w:t>
      </w:r>
      <w:r w:rsidR="007A24E9" w:rsidRPr="00082CA8">
        <w:rPr>
          <w:b/>
          <w:bCs/>
          <w:u w:val="single"/>
        </w:rPr>
        <w:t xml:space="preserve"> </w:t>
      </w:r>
    </w:p>
    <w:p w:rsidR="007A24E9" w:rsidRPr="00CC5669" w:rsidRDefault="007A24E9" w:rsidP="007A24E9">
      <w:pPr>
        <w:jc w:val="both"/>
        <w:outlineLvl w:val="0"/>
        <w:rPr>
          <w:bCs/>
        </w:rPr>
      </w:pPr>
      <w:r w:rsidRPr="00CC5669">
        <w:rPr>
          <w:bCs/>
        </w:rPr>
        <w:t xml:space="preserve">The Church </w:t>
      </w:r>
      <w:r>
        <w:rPr>
          <w:bCs/>
        </w:rPr>
        <w:t xml:space="preserve">as a registered charity </w:t>
      </w:r>
      <w:r w:rsidR="00AF42E4">
        <w:rPr>
          <w:bCs/>
        </w:rPr>
        <w:t xml:space="preserve">(No. 1130535) </w:t>
      </w:r>
      <w:r>
        <w:rPr>
          <w:bCs/>
        </w:rPr>
        <w:t xml:space="preserve">is committed to enabling as many people as possible to worship at our church and to become part of our parish community of St Peter’s. The </w:t>
      </w:r>
      <w:r w:rsidR="00891525">
        <w:rPr>
          <w:bCs/>
        </w:rPr>
        <w:t>C</w:t>
      </w:r>
      <w:r>
        <w:rPr>
          <w:bCs/>
        </w:rPr>
        <w:t xml:space="preserve">hurch’s web site (www.stpetershale.org.uk) demonstrates the wide extent of our commitment to being involved with the Community and providing a wide range of public benefit. All </w:t>
      </w:r>
      <w:r w:rsidRPr="00CC5669">
        <w:rPr>
          <w:bCs/>
        </w:rPr>
        <w:t>members of the PCC are</w:t>
      </w:r>
      <w:r w:rsidR="00891525">
        <w:rPr>
          <w:bCs/>
        </w:rPr>
        <w:t xml:space="preserve"> T</w:t>
      </w:r>
      <w:r w:rsidRPr="00CC5669">
        <w:rPr>
          <w:bCs/>
        </w:rPr>
        <w:t>rustees of “The Parochial Church Council of The Ecclesiastical Parish of St Peter’s Hale.”</w:t>
      </w:r>
    </w:p>
    <w:p w:rsidR="007A24E9" w:rsidRPr="00CC5669" w:rsidRDefault="007A24E9" w:rsidP="007A24E9">
      <w:r w:rsidRPr="00CC5669">
        <w:t>Members of the PCC are either ex-officio</w:t>
      </w:r>
      <w:r w:rsidR="00891525">
        <w:t xml:space="preserve">, </w:t>
      </w:r>
      <w:r w:rsidRPr="00CC5669">
        <w:t>elected by the Annual Parochial Church Meeting or co-opted by the PCC in accordance with the Church Representation Rules.</w:t>
      </w:r>
    </w:p>
    <w:p w:rsidR="007A24E9" w:rsidRPr="00CC5669" w:rsidRDefault="007A24E9" w:rsidP="007A24E9"/>
    <w:p w:rsidR="007A24E9" w:rsidRDefault="007A24E9" w:rsidP="007A24E9">
      <w:r w:rsidRPr="00CC5669">
        <w:t>During the year the following served as members of the PCC:</w:t>
      </w:r>
    </w:p>
    <w:p w:rsidR="004005EB" w:rsidRDefault="0043075C" w:rsidP="007A24E9">
      <w:r>
        <w:t>Incumbent</w:t>
      </w:r>
      <w:r>
        <w:tab/>
      </w:r>
      <w:r>
        <w:tab/>
      </w:r>
      <w:r>
        <w:tab/>
      </w:r>
      <w:r w:rsidR="00552B63">
        <w:t xml:space="preserve"> </w:t>
      </w:r>
      <w:proofErr w:type="gramStart"/>
      <w:r>
        <w:t>The</w:t>
      </w:r>
      <w:proofErr w:type="gramEnd"/>
      <w:r>
        <w:t xml:space="preserve"> Revd Keith Addenbrooke </w:t>
      </w:r>
      <w:r w:rsidR="007A24E9" w:rsidRPr="00CC5669">
        <w:tab/>
        <w:t xml:space="preserve">           </w:t>
      </w:r>
      <w:r w:rsidR="007A24E9" w:rsidRPr="00CC5669">
        <w:br/>
      </w:r>
      <w:r w:rsidR="006409D9">
        <w:t>Curate:</w:t>
      </w:r>
      <w:r w:rsidR="007A24E9" w:rsidRPr="00CC5669">
        <w:tab/>
      </w:r>
      <w:r w:rsidR="007A24E9" w:rsidRPr="00CC5669">
        <w:tab/>
      </w:r>
      <w:r w:rsidR="007B29E3">
        <w:t xml:space="preserve">                         The Revd Robin Pye (until April 2017)</w:t>
      </w:r>
    </w:p>
    <w:p w:rsidR="0043075C" w:rsidRDefault="0043075C" w:rsidP="007A24E9">
      <w:r>
        <w:tab/>
      </w:r>
      <w:r>
        <w:tab/>
      </w:r>
      <w:r>
        <w:tab/>
      </w:r>
      <w:r w:rsidR="004005EB">
        <w:tab/>
      </w:r>
      <w:r w:rsidR="007A24E9" w:rsidRPr="00CC5669">
        <w:br/>
      </w:r>
      <w:r w:rsidR="00834658">
        <w:t>Church Warden</w:t>
      </w:r>
      <w:r w:rsidR="00891525">
        <w:t>s</w:t>
      </w:r>
      <w:r w:rsidR="00834658">
        <w:t>:</w:t>
      </w:r>
      <w:r w:rsidR="00834658">
        <w:tab/>
      </w:r>
      <w:r w:rsidR="00454242">
        <w:tab/>
      </w:r>
      <w:r w:rsidR="007B29E3">
        <w:t>Keith Neal</w:t>
      </w:r>
      <w:r>
        <w:t xml:space="preserve"> </w:t>
      </w:r>
    </w:p>
    <w:p w:rsidR="0068501A" w:rsidRDefault="0068501A" w:rsidP="007A24E9">
      <w:r>
        <w:tab/>
      </w:r>
      <w:r>
        <w:tab/>
      </w:r>
      <w:r>
        <w:tab/>
      </w:r>
      <w:r>
        <w:tab/>
        <w:t>Vicki Wells (until April 2017)</w:t>
      </w:r>
    </w:p>
    <w:p w:rsidR="002942EF" w:rsidRDefault="002942EF" w:rsidP="007A24E9"/>
    <w:p w:rsidR="007A24E9" w:rsidRPr="00756DB4" w:rsidRDefault="007A24E9" w:rsidP="007A24E9">
      <w:r w:rsidRPr="00756DB4">
        <w:t>Readers:</w:t>
      </w:r>
      <w:r w:rsidRPr="00756DB4">
        <w:tab/>
      </w:r>
      <w:r w:rsidRPr="00756DB4">
        <w:tab/>
      </w:r>
      <w:r w:rsidRPr="00756DB4">
        <w:tab/>
        <w:t xml:space="preserve">John Moss </w:t>
      </w:r>
    </w:p>
    <w:p w:rsidR="007A24E9" w:rsidRPr="00756DB4" w:rsidRDefault="007A24E9" w:rsidP="007A24E9">
      <w:r w:rsidRPr="00756DB4">
        <w:tab/>
      </w:r>
      <w:r w:rsidRPr="00756DB4">
        <w:tab/>
      </w:r>
      <w:r w:rsidRPr="00756DB4">
        <w:tab/>
      </w:r>
      <w:r w:rsidRPr="00756DB4">
        <w:tab/>
        <w:t xml:space="preserve">Julie Withers </w:t>
      </w:r>
    </w:p>
    <w:p w:rsidR="002942EF" w:rsidRPr="007B29E3" w:rsidRDefault="002942EF" w:rsidP="007A24E9">
      <w:pPr>
        <w:rPr>
          <w:highlight w:val="yellow"/>
        </w:rPr>
      </w:pPr>
    </w:p>
    <w:p w:rsidR="007A24E9" w:rsidRPr="0068501A" w:rsidRDefault="007A24E9" w:rsidP="007A24E9">
      <w:r w:rsidRPr="0068501A">
        <w:t>Representatives</w:t>
      </w:r>
      <w:r w:rsidRPr="0068501A">
        <w:tab/>
      </w:r>
      <w:r w:rsidRPr="0068501A">
        <w:tab/>
        <w:t>Grahame Elliott</w:t>
      </w:r>
      <w:r w:rsidRPr="0068501A">
        <w:br/>
        <w:t>on the Deanery Synod</w:t>
      </w:r>
      <w:r w:rsidR="001513E3" w:rsidRPr="0068501A">
        <w:t>:</w:t>
      </w:r>
      <w:r w:rsidRPr="0068501A">
        <w:t xml:space="preserve"> </w:t>
      </w:r>
      <w:r w:rsidRPr="0068501A">
        <w:tab/>
        <w:t>Jo Green</w:t>
      </w:r>
      <w:r w:rsidR="0068501A" w:rsidRPr="0068501A">
        <w:t xml:space="preserve"> (resigned April 2017)</w:t>
      </w:r>
    </w:p>
    <w:p w:rsidR="007A24E9" w:rsidRPr="0068501A" w:rsidRDefault="007A24E9" w:rsidP="006F7D69">
      <w:pPr>
        <w:ind w:firstLine="720"/>
      </w:pPr>
      <w:r w:rsidRPr="0068501A">
        <w:tab/>
      </w:r>
      <w:r w:rsidRPr="0068501A">
        <w:tab/>
      </w:r>
      <w:r w:rsidRPr="0068501A">
        <w:tab/>
        <w:t>John Legg</w:t>
      </w:r>
    </w:p>
    <w:p w:rsidR="00F02F61" w:rsidRPr="0068501A" w:rsidRDefault="007A24E9" w:rsidP="007A24E9">
      <w:r w:rsidRPr="0068501A">
        <w:tab/>
      </w:r>
      <w:r w:rsidRPr="0068501A">
        <w:tab/>
      </w:r>
      <w:r w:rsidRPr="0068501A">
        <w:tab/>
      </w:r>
      <w:r w:rsidRPr="0068501A">
        <w:tab/>
        <w:t xml:space="preserve">Julie Withers </w:t>
      </w:r>
    </w:p>
    <w:p w:rsidR="0068501A" w:rsidRPr="0068501A" w:rsidRDefault="0068501A" w:rsidP="007A24E9">
      <w:r w:rsidRPr="0068501A">
        <w:tab/>
      </w:r>
      <w:r w:rsidRPr="0068501A">
        <w:tab/>
      </w:r>
      <w:r w:rsidRPr="0068501A">
        <w:tab/>
      </w:r>
      <w:r w:rsidRPr="0068501A">
        <w:tab/>
        <w:t>Kate Hass (from July</w:t>
      </w:r>
      <w:r w:rsidR="00891525">
        <w:t xml:space="preserve"> </w:t>
      </w:r>
      <w:r w:rsidRPr="0068501A">
        <w:t>2017)</w:t>
      </w:r>
    </w:p>
    <w:p w:rsidR="007B29E3" w:rsidRPr="0068501A" w:rsidRDefault="00C41E9E" w:rsidP="007A24E9">
      <w:r w:rsidRPr="0068501A">
        <w:tab/>
      </w:r>
      <w:r w:rsidRPr="0068501A">
        <w:tab/>
      </w:r>
      <w:r w:rsidRPr="0068501A">
        <w:tab/>
      </w:r>
      <w:r w:rsidRPr="0068501A">
        <w:tab/>
      </w:r>
    </w:p>
    <w:p w:rsidR="00C41E9E" w:rsidRPr="0068501A" w:rsidRDefault="00C41E9E" w:rsidP="00C41E9E">
      <w:pPr>
        <w:rPr>
          <w:b/>
        </w:rPr>
      </w:pPr>
      <w:r w:rsidRPr="0068501A">
        <w:t>Until 2018</w:t>
      </w:r>
      <w:r w:rsidRPr="0068501A">
        <w:tab/>
      </w:r>
      <w:r w:rsidRPr="0068501A">
        <w:tab/>
      </w:r>
      <w:r w:rsidRPr="0068501A">
        <w:tab/>
        <w:t xml:space="preserve">Adrienne Davies </w:t>
      </w:r>
    </w:p>
    <w:p w:rsidR="00AB45CA" w:rsidRPr="0068501A" w:rsidRDefault="00C41E9E" w:rsidP="00C41E9E">
      <w:r w:rsidRPr="0068501A">
        <w:tab/>
      </w:r>
      <w:r w:rsidRPr="0068501A">
        <w:tab/>
      </w:r>
      <w:r w:rsidRPr="0068501A">
        <w:tab/>
      </w:r>
      <w:r w:rsidRPr="0068501A">
        <w:tab/>
        <w:t>John Hulbert (Vice Chair)</w:t>
      </w:r>
      <w:r w:rsidR="0068501A" w:rsidRPr="0068501A">
        <w:t xml:space="preserve"> (</w:t>
      </w:r>
      <w:r w:rsidR="00891525">
        <w:t>resigned</w:t>
      </w:r>
      <w:r w:rsidR="0068501A" w:rsidRPr="0068501A">
        <w:t xml:space="preserve"> Nov 2017)</w:t>
      </w:r>
    </w:p>
    <w:p w:rsidR="00C41E9E" w:rsidRPr="0068501A" w:rsidRDefault="00C41E9E" w:rsidP="00C41E9E">
      <w:r w:rsidRPr="0068501A">
        <w:tab/>
      </w:r>
      <w:r w:rsidRPr="0068501A">
        <w:tab/>
      </w:r>
      <w:r w:rsidRPr="0068501A">
        <w:tab/>
      </w:r>
      <w:r w:rsidRPr="0068501A">
        <w:tab/>
        <w:t>Nicola Stanley</w:t>
      </w:r>
      <w:r w:rsidR="0068501A" w:rsidRPr="0068501A">
        <w:t xml:space="preserve"> (resigned July 2017)</w:t>
      </w:r>
    </w:p>
    <w:p w:rsidR="00C41E9E" w:rsidRPr="0068501A" w:rsidRDefault="00C41E9E" w:rsidP="00C41E9E">
      <w:r w:rsidRPr="0068501A">
        <w:tab/>
      </w:r>
      <w:r w:rsidRPr="0068501A">
        <w:tab/>
      </w:r>
      <w:r w:rsidRPr="0068501A">
        <w:tab/>
      </w:r>
      <w:r w:rsidRPr="0068501A">
        <w:tab/>
        <w:t>Chris Hoare</w:t>
      </w:r>
    </w:p>
    <w:p w:rsidR="00C41E9E" w:rsidRPr="0068501A" w:rsidRDefault="00C41E9E" w:rsidP="00C41E9E">
      <w:r w:rsidRPr="0068501A">
        <w:tab/>
      </w:r>
      <w:r w:rsidRPr="0068501A">
        <w:tab/>
      </w:r>
      <w:r w:rsidRPr="0068501A">
        <w:tab/>
      </w:r>
      <w:r w:rsidRPr="0068501A">
        <w:tab/>
        <w:t>Chris Graham</w:t>
      </w:r>
    </w:p>
    <w:p w:rsidR="00C41E9E" w:rsidRPr="0068501A" w:rsidRDefault="00C41E9E" w:rsidP="00C41E9E">
      <w:r w:rsidRPr="0068501A">
        <w:tab/>
      </w:r>
      <w:r w:rsidRPr="0068501A">
        <w:tab/>
      </w:r>
      <w:r w:rsidRPr="0068501A">
        <w:tab/>
      </w:r>
      <w:r w:rsidRPr="0068501A">
        <w:tab/>
        <w:t>Mary Graham</w:t>
      </w:r>
    </w:p>
    <w:p w:rsidR="00C41E9E" w:rsidRPr="0068501A" w:rsidRDefault="00C41E9E" w:rsidP="00C41E9E">
      <w:r w:rsidRPr="0068501A">
        <w:tab/>
      </w:r>
      <w:r w:rsidRPr="0068501A">
        <w:tab/>
      </w:r>
      <w:r w:rsidRPr="0068501A">
        <w:tab/>
      </w:r>
      <w:r w:rsidRPr="0068501A">
        <w:tab/>
        <w:t>Pauline Mills</w:t>
      </w:r>
    </w:p>
    <w:p w:rsidR="00C41E9E" w:rsidRPr="0068501A" w:rsidRDefault="00C41E9E" w:rsidP="00C41E9E">
      <w:r w:rsidRPr="0068501A">
        <w:tab/>
      </w:r>
      <w:r w:rsidRPr="0068501A">
        <w:tab/>
      </w:r>
      <w:r w:rsidRPr="0068501A">
        <w:tab/>
      </w:r>
      <w:r w:rsidRPr="0068501A">
        <w:tab/>
        <w:t>Elizabeth Parry</w:t>
      </w:r>
    </w:p>
    <w:p w:rsidR="002942EF" w:rsidRPr="0068501A" w:rsidRDefault="002942EF" w:rsidP="00617E3B"/>
    <w:p w:rsidR="00617E3B" w:rsidRPr="0068501A" w:rsidRDefault="00617E3B" w:rsidP="00617E3B">
      <w:r w:rsidRPr="0068501A">
        <w:t>Until 2019</w:t>
      </w:r>
      <w:r w:rsidRPr="0068501A">
        <w:tab/>
      </w:r>
      <w:r w:rsidRPr="0068501A">
        <w:tab/>
      </w:r>
      <w:r w:rsidRPr="0068501A">
        <w:tab/>
        <w:t>Peter Jackson (Treasurer)</w:t>
      </w:r>
    </w:p>
    <w:p w:rsidR="00617E3B" w:rsidRPr="0068501A" w:rsidRDefault="00617E3B" w:rsidP="00617E3B">
      <w:r w:rsidRPr="0068501A">
        <w:tab/>
      </w:r>
      <w:r w:rsidRPr="0068501A">
        <w:tab/>
      </w:r>
      <w:r w:rsidRPr="0068501A">
        <w:tab/>
      </w:r>
      <w:r w:rsidRPr="0068501A">
        <w:tab/>
        <w:t>Angela Ginger</w:t>
      </w:r>
    </w:p>
    <w:p w:rsidR="00617E3B" w:rsidRPr="0068501A" w:rsidRDefault="00617E3B" w:rsidP="00617E3B">
      <w:r w:rsidRPr="0068501A">
        <w:tab/>
      </w:r>
      <w:r w:rsidRPr="0068501A">
        <w:tab/>
      </w:r>
      <w:r w:rsidRPr="0068501A">
        <w:tab/>
      </w:r>
      <w:r w:rsidRPr="0068501A">
        <w:tab/>
        <w:t>Martyn Wilshaw</w:t>
      </w:r>
    </w:p>
    <w:p w:rsidR="00617E3B" w:rsidRDefault="00617E3B" w:rsidP="00617E3B">
      <w:r w:rsidRPr="0068501A">
        <w:t xml:space="preserve">                                              </w:t>
      </w:r>
      <w:r w:rsidR="003D4230">
        <w:t xml:space="preserve"> </w:t>
      </w:r>
      <w:r w:rsidRPr="0068501A">
        <w:t xml:space="preserve"> Norma Entwisle</w:t>
      </w:r>
      <w:r w:rsidR="0068501A">
        <w:t xml:space="preserve"> (Vice Chair from Nov 2017)</w:t>
      </w:r>
    </w:p>
    <w:p w:rsidR="003D5094" w:rsidRDefault="003D5094" w:rsidP="00617E3B">
      <w:r>
        <w:lastRenderedPageBreak/>
        <w:t>Until 2020</w:t>
      </w:r>
      <w:r>
        <w:tab/>
      </w:r>
      <w:r>
        <w:tab/>
      </w:r>
      <w:r>
        <w:tab/>
        <w:t>Nigel Davies</w:t>
      </w:r>
    </w:p>
    <w:p w:rsidR="003D5094" w:rsidRDefault="003D5094" w:rsidP="00617E3B">
      <w:r>
        <w:tab/>
      </w:r>
      <w:r>
        <w:tab/>
      </w:r>
      <w:r>
        <w:tab/>
      </w:r>
      <w:r>
        <w:tab/>
        <w:t>Irene Gibbons</w:t>
      </w:r>
    </w:p>
    <w:p w:rsidR="003D5094" w:rsidRDefault="003D5094" w:rsidP="00617E3B">
      <w:r>
        <w:tab/>
      </w:r>
      <w:r>
        <w:tab/>
      </w:r>
      <w:r>
        <w:tab/>
      </w:r>
      <w:r>
        <w:tab/>
        <w:t>Vicki Wells</w:t>
      </w:r>
    </w:p>
    <w:p w:rsidR="003D5094" w:rsidRPr="0068501A" w:rsidRDefault="003D5094" w:rsidP="00617E3B">
      <w:r>
        <w:tab/>
      </w:r>
      <w:r>
        <w:tab/>
      </w:r>
      <w:r>
        <w:tab/>
      </w:r>
      <w:r>
        <w:tab/>
        <w:t>Katherine Hass</w:t>
      </w:r>
    </w:p>
    <w:p w:rsidR="00FC72DD" w:rsidRPr="007B29E3" w:rsidRDefault="00756DB4" w:rsidP="007A24E9">
      <w:pPr>
        <w:rPr>
          <w:highlight w:val="yellow"/>
        </w:rPr>
      </w:pPr>
      <w:r>
        <w:rPr>
          <w:highlight w:val="yellow"/>
        </w:rPr>
        <w:t xml:space="preserve">                                              </w:t>
      </w:r>
      <w:r w:rsidR="002942EF" w:rsidRPr="007B29E3">
        <w:rPr>
          <w:highlight w:val="yellow"/>
        </w:rPr>
        <w:t xml:space="preserve"> </w:t>
      </w:r>
    </w:p>
    <w:p w:rsidR="00F02F61" w:rsidRPr="0008222D" w:rsidRDefault="00FC72DD" w:rsidP="00C67546">
      <w:pPr>
        <w:jc w:val="both"/>
      </w:pPr>
      <w:r w:rsidRPr="0008222D">
        <w:t xml:space="preserve">The trustees are recruited from the members of the electoral role by notices in the weekly news sheets. They are sponsored by other members and voted on at the Annual Parish council meeting. </w:t>
      </w:r>
    </w:p>
    <w:p w:rsidR="00FC72DD" w:rsidRPr="00FC72DD" w:rsidRDefault="00FC72DD" w:rsidP="00C67546">
      <w:pPr>
        <w:jc w:val="both"/>
      </w:pPr>
      <w:r w:rsidRPr="0008222D">
        <w:t>All potential trustees have a working knowledge of church activities. Their legal responsibilities are explained to them when they are registered with the Charity Commissioners.</w:t>
      </w:r>
    </w:p>
    <w:p w:rsidR="00FC72DD" w:rsidRDefault="00FC72DD" w:rsidP="00C67546">
      <w:pPr>
        <w:jc w:val="both"/>
        <w:rPr>
          <w:b/>
          <w:u w:val="single"/>
        </w:rPr>
      </w:pPr>
    </w:p>
    <w:p w:rsidR="007A24E9" w:rsidRPr="00C41E9E" w:rsidRDefault="007A24E9" w:rsidP="00C67546">
      <w:pPr>
        <w:jc w:val="both"/>
      </w:pPr>
      <w:r w:rsidRPr="00C41E9E">
        <w:rPr>
          <w:b/>
          <w:u w:val="single"/>
        </w:rPr>
        <w:t>Committees</w:t>
      </w:r>
    </w:p>
    <w:p w:rsidR="007A24E9" w:rsidRPr="002942EF" w:rsidRDefault="007A24E9" w:rsidP="00C67546">
      <w:pPr>
        <w:jc w:val="both"/>
      </w:pPr>
      <w:r w:rsidRPr="002942EF">
        <w:t xml:space="preserve">The PCC operates through </w:t>
      </w:r>
      <w:proofErr w:type="gramStart"/>
      <w:r w:rsidRPr="002942EF">
        <w:t>a number of</w:t>
      </w:r>
      <w:proofErr w:type="gramEnd"/>
      <w:r w:rsidRPr="002942EF">
        <w:t xml:space="preserve"> committees, which meet between full meetings of the PCC.</w:t>
      </w:r>
    </w:p>
    <w:p w:rsidR="007A24E9" w:rsidRPr="00CD7CF4" w:rsidRDefault="007A24E9" w:rsidP="00C67546">
      <w:pPr>
        <w:jc w:val="both"/>
      </w:pPr>
      <w:r w:rsidRPr="00CD7CF4">
        <w:t xml:space="preserve">The PCC met </w:t>
      </w:r>
      <w:r w:rsidR="0068501A" w:rsidRPr="00CD7CF4">
        <w:t>8</w:t>
      </w:r>
      <w:r w:rsidRPr="00CD7CF4">
        <w:t xml:space="preserve"> times</w:t>
      </w:r>
      <w:r w:rsidR="002942EF" w:rsidRPr="00CD7CF4">
        <w:t xml:space="preserve"> in 201</w:t>
      </w:r>
      <w:r w:rsidR="007B29E3" w:rsidRPr="00CD7CF4">
        <w:t>7</w:t>
      </w:r>
      <w:r w:rsidR="002942EF" w:rsidRPr="00CD7CF4">
        <w:t xml:space="preserve"> </w:t>
      </w:r>
      <w:r w:rsidR="00C41E9E" w:rsidRPr="00CD7CF4">
        <w:t xml:space="preserve">and </w:t>
      </w:r>
      <w:r w:rsidR="0068501A" w:rsidRPr="00CD7CF4">
        <w:t>6</w:t>
      </w:r>
      <w:r w:rsidR="002942EF" w:rsidRPr="00CD7CF4">
        <w:t xml:space="preserve"> t</w:t>
      </w:r>
      <w:r w:rsidR="00C41E9E" w:rsidRPr="00CD7CF4">
        <w:t>imes</w:t>
      </w:r>
      <w:r w:rsidRPr="00CD7CF4">
        <w:t xml:space="preserve"> since the last APCM with an average attendance of </w:t>
      </w:r>
      <w:r w:rsidR="0068501A" w:rsidRPr="00CD7CF4">
        <w:t>59</w:t>
      </w:r>
      <w:proofErr w:type="gramStart"/>
      <w:r w:rsidRPr="00CD7CF4">
        <w:t>%.</w:t>
      </w:r>
      <w:r w:rsidR="0068501A" w:rsidRPr="00CD7CF4">
        <w:t>until</w:t>
      </w:r>
      <w:proofErr w:type="gramEnd"/>
      <w:r w:rsidR="0068501A" w:rsidRPr="00CD7CF4">
        <w:t xml:space="preserve"> </w:t>
      </w:r>
      <w:r w:rsidR="00891525">
        <w:t xml:space="preserve">the </w:t>
      </w:r>
      <w:r w:rsidR="0068501A" w:rsidRPr="00CD7CF4">
        <w:t>APCM and 79% since</w:t>
      </w:r>
      <w:r w:rsidR="00891525">
        <w:t>.</w:t>
      </w:r>
    </w:p>
    <w:p w:rsidR="00FB0B10" w:rsidRPr="00CD7CF4" w:rsidRDefault="00FB0B10" w:rsidP="00C67546">
      <w:pPr>
        <w:jc w:val="both"/>
        <w:rPr>
          <w:b/>
          <w:u w:val="single"/>
        </w:rPr>
      </w:pPr>
    </w:p>
    <w:p w:rsidR="007A24E9" w:rsidRPr="00CD7CF4" w:rsidRDefault="007A24E9" w:rsidP="00C67546">
      <w:pPr>
        <w:jc w:val="both"/>
        <w:rPr>
          <w:b/>
        </w:rPr>
      </w:pPr>
      <w:r w:rsidRPr="00CD7CF4">
        <w:rPr>
          <w:b/>
          <w:u w:val="single"/>
        </w:rPr>
        <w:t>Standing Committee</w:t>
      </w:r>
    </w:p>
    <w:p w:rsidR="007A24E9" w:rsidRPr="00CD7CF4" w:rsidRDefault="007A24E9" w:rsidP="00C67546">
      <w:pPr>
        <w:jc w:val="both"/>
      </w:pPr>
      <w:r w:rsidRPr="00CD7CF4">
        <w:t xml:space="preserve">This is the only committee required by law and met </w:t>
      </w:r>
      <w:r w:rsidR="0068501A" w:rsidRPr="00CD7CF4">
        <w:t>8</w:t>
      </w:r>
      <w:r w:rsidRPr="00CD7CF4">
        <w:t xml:space="preserve"> times</w:t>
      </w:r>
      <w:r w:rsidR="00753C9C" w:rsidRPr="00CD7CF4">
        <w:t xml:space="preserve"> in 201</w:t>
      </w:r>
      <w:r w:rsidR="007B29E3" w:rsidRPr="00CD7CF4">
        <w:t>7</w:t>
      </w:r>
      <w:r w:rsidR="00753C9C" w:rsidRPr="00CD7CF4">
        <w:t xml:space="preserve"> and </w:t>
      </w:r>
      <w:r w:rsidR="0068501A" w:rsidRPr="00CD7CF4">
        <w:t>7</w:t>
      </w:r>
      <w:r w:rsidR="00753C9C" w:rsidRPr="00CD7CF4">
        <w:t xml:space="preserve"> times </w:t>
      </w:r>
      <w:r w:rsidRPr="00CD7CF4">
        <w:t>since the last APCM.  It has power to transact the business of the PCC between its meetings, subject to any directions given by the Council.</w:t>
      </w:r>
    </w:p>
    <w:p w:rsidR="007A24E9" w:rsidRPr="00CD7CF4" w:rsidRDefault="007A24E9" w:rsidP="00C67546">
      <w:pPr>
        <w:jc w:val="both"/>
        <w:rPr>
          <w:u w:val="single"/>
        </w:rPr>
      </w:pPr>
    </w:p>
    <w:p w:rsidR="007A24E9" w:rsidRPr="00CD7CF4" w:rsidRDefault="007A24E9" w:rsidP="00C67546">
      <w:pPr>
        <w:jc w:val="both"/>
        <w:rPr>
          <w:b/>
        </w:rPr>
      </w:pPr>
      <w:r w:rsidRPr="00CD7CF4">
        <w:rPr>
          <w:b/>
          <w:u w:val="single"/>
        </w:rPr>
        <w:t>Mission</w:t>
      </w:r>
      <w:r w:rsidR="009A04F1" w:rsidRPr="00CD7CF4">
        <w:rPr>
          <w:b/>
          <w:u w:val="single"/>
        </w:rPr>
        <w:t xml:space="preserve"> in Action</w:t>
      </w:r>
    </w:p>
    <w:p w:rsidR="007A24E9" w:rsidRPr="00CD7CF4" w:rsidRDefault="007A24E9" w:rsidP="00C67546">
      <w:pPr>
        <w:jc w:val="both"/>
      </w:pPr>
      <w:r w:rsidRPr="00CD7CF4">
        <w:t xml:space="preserve">The </w:t>
      </w:r>
      <w:r w:rsidR="009A04F1" w:rsidRPr="00CD7CF4">
        <w:t>MIA</w:t>
      </w:r>
      <w:r w:rsidRPr="00CD7CF4">
        <w:t xml:space="preserve"> makes proposals for the allocation of the church’s outward</w:t>
      </w:r>
      <w:r w:rsidR="00891525">
        <w:t xml:space="preserve"> </w:t>
      </w:r>
      <w:r w:rsidRPr="00CD7CF4">
        <w:t>budget, which is 10% of our annual donated income, to support projects and organisation</w:t>
      </w:r>
      <w:r w:rsidR="00891525">
        <w:t>s</w:t>
      </w:r>
      <w:r w:rsidRPr="00CD7CF4">
        <w:t xml:space="preserve"> in the UK and overseas. This committee also encourages the church’s ongoing engagement with those partners through prayer, personal contact and practical support. The </w:t>
      </w:r>
      <w:r w:rsidR="009A04F1" w:rsidRPr="00CD7CF4">
        <w:t>MIA</w:t>
      </w:r>
      <w:r w:rsidRPr="00CD7CF4">
        <w:t xml:space="preserve"> identifies and promotes the </w:t>
      </w:r>
      <w:r w:rsidR="00891525">
        <w:t>C</w:t>
      </w:r>
      <w:r w:rsidRPr="00CD7CF4">
        <w:t xml:space="preserve">hurch’s Lent and Harvest </w:t>
      </w:r>
      <w:proofErr w:type="gramStart"/>
      <w:r w:rsidRPr="00CD7CF4">
        <w:t>Projects, and</w:t>
      </w:r>
      <w:proofErr w:type="gramEnd"/>
      <w:r w:rsidRPr="00CD7CF4">
        <w:t xml:space="preserve"> facilitates other charitable support through Ploughman’s Lunches </w:t>
      </w:r>
      <w:r w:rsidR="00753C9C" w:rsidRPr="00CD7CF4">
        <w:t xml:space="preserve">and other </w:t>
      </w:r>
      <w:r w:rsidR="00891525">
        <w:t>activities</w:t>
      </w:r>
      <w:r w:rsidR="00753C9C" w:rsidRPr="00CD7CF4">
        <w:t xml:space="preserve">. </w:t>
      </w:r>
      <w:r w:rsidRPr="00CD7CF4">
        <w:t>The committee implements mission proposals as agreed by the PCC. It met</w:t>
      </w:r>
      <w:r w:rsidR="0068501A" w:rsidRPr="00CD7CF4">
        <w:t xml:space="preserve"> 6</w:t>
      </w:r>
      <w:r w:rsidRPr="00CD7CF4">
        <w:t xml:space="preserve"> times </w:t>
      </w:r>
      <w:r w:rsidR="0068501A" w:rsidRPr="00CD7CF4">
        <w:t>in 2017 and 4</w:t>
      </w:r>
      <w:r w:rsidR="00891525">
        <w:t xml:space="preserve"> </w:t>
      </w:r>
      <w:r w:rsidR="0068501A" w:rsidRPr="00CD7CF4">
        <w:t xml:space="preserve">times </w:t>
      </w:r>
      <w:r w:rsidRPr="00CD7CF4">
        <w:t>since the last APCM.</w:t>
      </w:r>
      <w:r w:rsidR="0068501A" w:rsidRPr="00CD7CF4">
        <w:t xml:space="preserve"> </w:t>
      </w:r>
    </w:p>
    <w:p w:rsidR="009349BA" w:rsidRPr="00CD7CF4" w:rsidRDefault="009349BA" w:rsidP="00C67546">
      <w:pPr>
        <w:jc w:val="both"/>
      </w:pPr>
      <w:r w:rsidRPr="00CD7CF4">
        <w:t>The proposed distribution of the 201</w:t>
      </w:r>
      <w:r w:rsidR="0068501A" w:rsidRPr="00CD7CF4">
        <w:t>7</w:t>
      </w:r>
      <w:r w:rsidRPr="00CD7CF4">
        <w:t xml:space="preserve"> grant from the PCC is shown at the end of the 201</w:t>
      </w:r>
      <w:r w:rsidR="0068501A" w:rsidRPr="00CD7CF4">
        <w:t>7</w:t>
      </w:r>
      <w:r w:rsidRPr="00CD7CF4">
        <w:t xml:space="preserve"> Accounts</w:t>
      </w:r>
    </w:p>
    <w:p w:rsidR="00FC72DD" w:rsidRPr="00CD7CF4" w:rsidRDefault="00FC72DD" w:rsidP="00C67546">
      <w:pPr>
        <w:jc w:val="both"/>
      </w:pPr>
    </w:p>
    <w:p w:rsidR="007A24E9" w:rsidRPr="00CD7CF4" w:rsidRDefault="007A24E9" w:rsidP="00C67546">
      <w:pPr>
        <w:jc w:val="both"/>
        <w:rPr>
          <w:b/>
          <w:u w:val="single"/>
        </w:rPr>
      </w:pPr>
      <w:r w:rsidRPr="00CD7CF4">
        <w:rPr>
          <w:b/>
          <w:u w:val="single"/>
        </w:rPr>
        <w:t>Buildings and Facilities Committee</w:t>
      </w:r>
    </w:p>
    <w:p w:rsidR="007A24E9" w:rsidRPr="00753C9C" w:rsidRDefault="007A24E9" w:rsidP="00C67546">
      <w:pPr>
        <w:jc w:val="both"/>
      </w:pPr>
      <w:r w:rsidRPr="00CD7CF4">
        <w:t>This committee is responsible to the PCC for the maintenance and improvement of all the buildings and facilities</w:t>
      </w:r>
      <w:r w:rsidR="00891525">
        <w:t>. I</w:t>
      </w:r>
      <w:r w:rsidRPr="00CD7CF4">
        <w:t>t</w:t>
      </w:r>
      <w:r w:rsidR="00F02F61" w:rsidRPr="00CD7CF4">
        <w:t xml:space="preserve"> met </w:t>
      </w:r>
      <w:r w:rsidR="0068501A" w:rsidRPr="00CD7CF4">
        <w:t>3</w:t>
      </w:r>
      <w:r w:rsidRPr="00CD7CF4">
        <w:t xml:space="preserve"> times since the last APCM</w:t>
      </w:r>
      <w:r w:rsidR="001513E3" w:rsidRPr="00CD7CF4">
        <w:t>.</w:t>
      </w:r>
    </w:p>
    <w:p w:rsidR="00FC72DD" w:rsidRDefault="00FC72DD" w:rsidP="00C67546">
      <w:pPr>
        <w:jc w:val="both"/>
        <w:rPr>
          <w:b/>
          <w:u w:val="single"/>
        </w:rPr>
      </w:pPr>
    </w:p>
    <w:p w:rsidR="007A24E9" w:rsidRPr="00753C9C" w:rsidRDefault="007A24E9" w:rsidP="00C67546">
      <w:pPr>
        <w:jc w:val="both"/>
        <w:rPr>
          <w:b/>
          <w:u w:val="single"/>
        </w:rPr>
      </w:pPr>
      <w:r w:rsidRPr="00753C9C">
        <w:rPr>
          <w:b/>
          <w:u w:val="single"/>
        </w:rPr>
        <w:t>Stewardship Committee</w:t>
      </w:r>
    </w:p>
    <w:p w:rsidR="00B204DE" w:rsidRDefault="007A24E9" w:rsidP="00C67546">
      <w:pPr>
        <w:jc w:val="both"/>
        <w:rPr>
          <w:b/>
          <w:u w:val="single"/>
        </w:rPr>
      </w:pPr>
      <w:r w:rsidRPr="00753C9C">
        <w:t xml:space="preserve">The Committee is responsible for </w:t>
      </w:r>
      <w:proofErr w:type="gramStart"/>
      <w:r w:rsidRPr="00753C9C">
        <w:t>taking action</w:t>
      </w:r>
      <w:proofErr w:type="gramEnd"/>
      <w:r w:rsidRPr="00753C9C">
        <w:t xml:space="preserve"> to ensure a continuing increase in regular and legacy giving by both increasing numbers </w:t>
      </w:r>
      <w:r w:rsidR="00891525">
        <w:t xml:space="preserve">of donors </w:t>
      </w:r>
      <w:r w:rsidRPr="00753C9C">
        <w:t>and amounts</w:t>
      </w:r>
      <w:r w:rsidR="00891525">
        <w:t xml:space="preserve"> donated</w:t>
      </w:r>
      <w:r w:rsidRPr="002942EF">
        <w:t>.</w:t>
      </w:r>
      <w:r w:rsidR="00753C9C" w:rsidRPr="002942EF">
        <w:t xml:space="preserve"> </w:t>
      </w:r>
      <w:r w:rsidR="00753C9C" w:rsidRPr="00CD7CF4">
        <w:t xml:space="preserve">It met </w:t>
      </w:r>
      <w:r w:rsidR="00CD7CF4" w:rsidRPr="00CD7CF4">
        <w:t>2</w:t>
      </w:r>
      <w:r w:rsidR="002942EF" w:rsidRPr="00CD7CF4">
        <w:t xml:space="preserve"> times </w:t>
      </w:r>
      <w:r w:rsidR="00753C9C" w:rsidRPr="00CD7CF4">
        <w:t>since the last APCM</w:t>
      </w:r>
      <w:r w:rsidR="00753C9C" w:rsidRPr="00753C9C">
        <w:t>.</w:t>
      </w:r>
    </w:p>
    <w:p w:rsidR="00890FF9" w:rsidRDefault="00890FF9" w:rsidP="00C67546">
      <w:pPr>
        <w:jc w:val="both"/>
        <w:rPr>
          <w:b/>
          <w:u w:val="single"/>
        </w:rPr>
      </w:pPr>
    </w:p>
    <w:p w:rsidR="00573D00" w:rsidRPr="00573D00" w:rsidRDefault="00573D00" w:rsidP="00C67546">
      <w:pPr>
        <w:jc w:val="both"/>
        <w:rPr>
          <w:b/>
          <w:sz w:val="28"/>
          <w:szCs w:val="28"/>
          <w:u w:val="single"/>
        </w:rPr>
      </w:pPr>
      <w:r w:rsidRPr="00573D00">
        <w:rPr>
          <w:b/>
        </w:rPr>
        <w:t xml:space="preserve"> </w:t>
      </w:r>
      <w:r w:rsidRPr="00573D00">
        <w:rPr>
          <w:b/>
          <w:sz w:val="28"/>
          <w:szCs w:val="28"/>
          <w:u w:val="single"/>
        </w:rPr>
        <w:t>Vision</w:t>
      </w:r>
    </w:p>
    <w:p w:rsidR="00573D00" w:rsidRPr="007F2C3B" w:rsidRDefault="00573D00" w:rsidP="00C67546">
      <w:pPr>
        <w:jc w:val="both"/>
        <w:rPr>
          <w:color w:val="000000" w:themeColor="text1"/>
        </w:rPr>
      </w:pPr>
      <w:r w:rsidRPr="007F2C3B">
        <w:rPr>
          <w:color w:val="000000" w:themeColor="text1"/>
        </w:rPr>
        <w:t>The mission of the church – our standing orders, if you like – are set out quite clearly for us in the words of Jesus recorded in Matthew 28:19-20a.  In the NRSV translation we read this:</w:t>
      </w:r>
    </w:p>
    <w:p w:rsidR="00573D00" w:rsidRPr="007F2C3B" w:rsidRDefault="00573D00" w:rsidP="00C67546">
      <w:pPr>
        <w:jc w:val="both"/>
        <w:rPr>
          <w:color w:val="000000" w:themeColor="text1"/>
        </w:rPr>
      </w:pPr>
    </w:p>
    <w:p w:rsidR="00573D00" w:rsidRPr="007F2C3B" w:rsidRDefault="00573D00" w:rsidP="00C67546">
      <w:pPr>
        <w:jc w:val="both"/>
        <w:rPr>
          <w:color w:val="000000" w:themeColor="text1"/>
        </w:rPr>
      </w:pPr>
      <w:r w:rsidRPr="007F2C3B">
        <w:rPr>
          <w:color w:val="000000" w:themeColor="text1"/>
        </w:rPr>
        <w:t>“Go therefore and make disciples of all nations, baptizing them in the name of the Father and of the Son and of the Holy Spirit, and teaching them to obey everything that I have commanded you.”</w:t>
      </w:r>
    </w:p>
    <w:p w:rsidR="00573D00" w:rsidRPr="007F2C3B" w:rsidRDefault="00573D00" w:rsidP="00C67546">
      <w:pPr>
        <w:jc w:val="both"/>
        <w:rPr>
          <w:color w:val="000000" w:themeColor="text1"/>
        </w:rPr>
      </w:pPr>
    </w:p>
    <w:p w:rsidR="00573D00" w:rsidRPr="007F2C3B" w:rsidRDefault="00573D00" w:rsidP="00C67546">
      <w:pPr>
        <w:jc w:val="both"/>
        <w:rPr>
          <w:color w:val="000000" w:themeColor="text1"/>
        </w:rPr>
      </w:pPr>
      <w:r w:rsidRPr="007F2C3B">
        <w:rPr>
          <w:color w:val="000000" w:themeColor="text1"/>
        </w:rPr>
        <w:t>That’s why the church exists, and every initiative, idea and event we put on should be evaluated against this standard to ensure we are both putting this into practice and applying it in our own lives.</w:t>
      </w:r>
    </w:p>
    <w:p w:rsidR="00573D00" w:rsidRPr="007F2C3B" w:rsidRDefault="00573D00" w:rsidP="00C67546">
      <w:pPr>
        <w:jc w:val="both"/>
        <w:rPr>
          <w:color w:val="000000" w:themeColor="text1"/>
        </w:rPr>
      </w:pPr>
    </w:p>
    <w:p w:rsidR="00573D00" w:rsidRPr="007F2C3B" w:rsidRDefault="00573D00" w:rsidP="00C67546">
      <w:pPr>
        <w:jc w:val="both"/>
        <w:rPr>
          <w:color w:val="000000" w:themeColor="text1"/>
        </w:rPr>
      </w:pPr>
      <w:r w:rsidRPr="007F2C3B">
        <w:rPr>
          <w:color w:val="000000" w:themeColor="text1"/>
        </w:rPr>
        <w:lastRenderedPageBreak/>
        <w:t>Being intentional in engaging our community with the good news of Jesus is central to the calling of every Parish Church in the Church of England.  Research conducted for the Church of England has confirmed this (</w:t>
      </w:r>
      <w:r w:rsidRPr="007F2C3B">
        <w:rPr>
          <w:i/>
          <w:color w:val="000000" w:themeColor="text1"/>
        </w:rPr>
        <w:t>From Anecdote to Evidence, 2014</w:t>
      </w:r>
      <w:r w:rsidRPr="007F2C3B">
        <w:rPr>
          <w:color w:val="000000" w:themeColor="text1"/>
        </w:rPr>
        <w:t>), and the PCC at St Peter’s has been exploring different elements that underscore a Church’s Vision over the past couple of years.  The Diocese of Chester no longer requires Churches to submit detailed Growth Action Plans (GAP), however it is expected that engagement in the Growth Action Planning process has helped Parishes to develop an intentional mindset when it comes to thinking ahead.  In November 2017, the different avenues that had been explored were consolidated in a review exercise undertaken by the PCC, and in 2018 it is planned that Church members representing different groups active at St Peter’s will be invited to come together to develop these ideas further.  This is expected to happen in the early Summer.</w:t>
      </w:r>
    </w:p>
    <w:p w:rsidR="00573D00" w:rsidRPr="007F2C3B" w:rsidRDefault="00573D00" w:rsidP="00C67546">
      <w:pPr>
        <w:jc w:val="both"/>
        <w:rPr>
          <w:color w:val="000000" w:themeColor="text1"/>
        </w:rPr>
      </w:pPr>
    </w:p>
    <w:p w:rsidR="00573D00" w:rsidRPr="007F2C3B" w:rsidRDefault="00573D00" w:rsidP="00C67546">
      <w:pPr>
        <w:jc w:val="both"/>
        <w:rPr>
          <w:color w:val="000000" w:themeColor="text1"/>
        </w:rPr>
      </w:pPr>
      <w:r w:rsidRPr="007F2C3B">
        <w:rPr>
          <w:color w:val="000000" w:themeColor="text1"/>
        </w:rPr>
        <w:t xml:space="preserve">At a practical level, St Peter’s again saw growth in the number of children and young families engaging in our Sunday School and other Services, which has been a strategic priority.  Matt Buckley was recruited in October 2017 to develop youth work amongst older primary school and secondary school children and young people, where we continue to be heavily under-represented, and where retention is a key issue faced by all Churches.    Our partnership with </w:t>
      </w:r>
      <w:r w:rsidRPr="007F2C3B">
        <w:rPr>
          <w:i/>
          <w:color w:val="000000" w:themeColor="text1"/>
        </w:rPr>
        <w:t>Voice</w:t>
      </w:r>
      <w:r w:rsidRPr="007F2C3B">
        <w:rPr>
          <w:color w:val="000000" w:themeColor="text1"/>
        </w:rPr>
        <w:t xml:space="preserve"> continues, and our fortnightly term-time youth group </w:t>
      </w:r>
      <w:r w:rsidRPr="007F2C3B">
        <w:rPr>
          <w:i/>
          <w:color w:val="000000" w:themeColor="text1"/>
        </w:rPr>
        <w:t>Flames</w:t>
      </w:r>
      <w:r w:rsidRPr="007F2C3B">
        <w:rPr>
          <w:color w:val="000000" w:themeColor="text1"/>
        </w:rPr>
        <w:t xml:space="preserve"> also </w:t>
      </w:r>
      <w:proofErr w:type="gramStart"/>
      <w:r w:rsidRPr="007F2C3B">
        <w:rPr>
          <w:color w:val="000000" w:themeColor="text1"/>
        </w:rPr>
        <w:t>continues on</w:t>
      </w:r>
      <w:proofErr w:type="gramEnd"/>
      <w:r w:rsidRPr="007F2C3B">
        <w:rPr>
          <w:color w:val="000000" w:themeColor="text1"/>
        </w:rPr>
        <w:t xml:space="preserve"> Sunday evenings, but these groups have remained small during 2017.</w:t>
      </w:r>
    </w:p>
    <w:p w:rsidR="00573D00" w:rsidRPr="007F2C3B" w:rsidRDefault="00573D00" w:rsidP="00C67546">
      <w:pPr>
        <w:jc w:val="both"/>
        <w:rPr>
          <w:color w:val="000000" w:themeColor="text1"/>
        </w:rPr>
      </w:pPr>
    </w:p>
    <w:p w:rsidR="00573D00" w:rsidRDefault="00573D00" w:rsidP="00C67546">
      <w:pPr>
        <w:jc w:val="both"/>
        <w:rPr>
          <w:color w:val="000000" w:themeColor="text1"/>
        </w:rPr>
      </w:pPr>
      <w:r w:rsidRPr="007F2C3B">
        <w:rPr>
          <w:color w:val="000000" w:themeColor="text1"/>
        </w:rPr>
        <w:t xml:space="preserve">Ministry among adults is embraced by the many different groups that bring people together at St Peter’s, and development of Group Leaders will always be key to this ministry.  Our Curate, Revd Robin Pye played a significant role in supporting and encouraging groups, and reported on this to the January 2017 PCC meeting, prior to his departure to take up the post of Vicar of St Philip and St James in Alderley Edge.  The Diocesan </w:t>
      </w:r>
      <w:r w:rsidRPr="007F2C3B">
        <w:rPr>
          <w:i/>
          <w:color w:val="000000" w:themeColor="text1"/>
        </w:rPr>
        <w:t>Foundations for Ministry</w:t>
      </w:r>
      <w:r w:rsidRPr="007F2C3B">
        <w:rPr>
          <w:color w:val="000000" w:themeColor="text1"/>
        </w:rPr>
        <w:t xml:space="preserve"> course is being run at St Peter’s House for the 2017-2018 academic year, but despite extensive promotion within the Church and </w:t>
      </w:r>
      <w:proofErr w:type="gramStart"/>
      <w:r w:rsidRPr="007F2C3B">
        <w:rPr>
          <w:color w:val="000000" w:themeColor="text1"/>
        </w:rPr>
        <w:t>a number of</w:t>
      </w:r>
      <w:proofErr w:type="gramEnd"/>
      <w:r w:rsidRPr="007F2C3B">
        <w:rPr>
          <w:color w:val="000000" w:themeColor="text1"/>
        </w:rPr>
        <w:t xml:space="preserve"> enquiries, only two members of St Peter’s signed up for the course.  It had been hoped that more people would take advantage of this opportunity to develop formal lay ministries in the Church.</w:t>
      </w:r>
    </w:p>
    <w:p w:rsidR="00890FF9" w:rsidRDefault="00890FF9" w:rsidP="00C67546">
      <w:pPr>
        <w:jc w:val="both"/>
        <w:rPr>
          <w:color w:val="000000" w:themeColor="text1"/>
        </w:rPr>
      </w:pPr>
    </w:p>
    <w:p w:rsidR="00573D00" w:rsidRDefault="00573D00" w:rsidP="00C67546">
      <w:pPr>
        <w:jc w:val="both"/>
        <w:rPr>
          <w:b/>
          <w:u w:val="single"/>
        </w:rPr>
      </w:pPr>
      <w:r w:rsidRPr="00B14F12">
        <w:rPr>
          <w:b/>
          <w:u w:val="single"/>
        </w:rPr>
        <w:t xml:space="preserve">REVIEW OF THE </w:t>
      </w:r>
      <w:r w:rsidRPr="00573D00">
        <w:rPr>
          <w:b/>
          <w:u w:val="single"/>
        </w:rPr>
        <w:t>YEAR</w:t>
      </w:r>
    </w:p>
    <w:p w:rsidR="00890FF9" w:rsidRPr="00B14F12" w:rsidRDefault="00890FF9" w:rsidP="00C67546">
      <w:pPr>
        <w:jc w:val="both"/>
      </w:pPr>
    </w:p>
    <w:p w:rsidR="00573D00" w:rsidRPr="004067E7" w:rsidRDefault="00573D00" w:rsidP="00C67546">
      <w:pPr>
        <w:jc w:val="both"/>
        <w:rPr>
          <w:b/>
          <w:u w:val="single"/>
        </w:rPr>
      </w:pPr>
      <w:r w:rsidRPr="004067E7">
        <w:rPr>
          <w:b/>
          <w:u w:val="single"/>
        </w:rPr>
        <w:t>Electoral Roll</w:t>
      </w:r>
    </w:p>
    <w:p w:rsidR="00573D00" w:rsidRDefault="00573D00" w:rsidP="00C67546">
      <w:pPr>
        <w:jc w:val="both"/>
      </w:pPr>
      <w:r w:rsidRPr="004067E7">
        <w:t xml:space="preserve"> </w:t>
      </w:r>
      <w:r w:rsidRPr="008368A5">
        <w:t>At 31</w:t>
      </w:r>
      <w:r w:rsidRPr="008368A5">
        <w:rPr>
          <w:vertAlign w:val="superscript"/>
        </w:rPr>
        <w:t>st</w:t>
      </w:r>
      <w:r w:rsidRPr="008368A5">
        <w:t xml:space="preserve"> December 2017, there were 4</w:t>
      </w:r>
      <w:r w:rsidR="00381A3E" w:rsidRPr="008368A5">
        <w:t>84</w:t>
      </w:r>
      <w:r w:rsidRPr="008368A5">
        <w:t xml:space="preserve"> parishioners on the Church Electoral Roll, 2</w:t>
      </w:r>
      <w:r w:rsidR="008368A5" w:rsidRPr="008368A5">
        <w:t>85</w:t>
      </w:r>
      <w:r w:rsidRPr="008368A5">
        <w:t xml:space="preserve"> </w:t>
      </w:r>
      <w:proofErr w:type="gramStart"/>
      <w:r w:rsidRPr="008368A5">
        <w:t>resident</w:t>
      </w:r>
      <w:proofErr w:type="gramEnd"/>
      <w:r w:rsidRPr="008368A5">
        <w:t xml:space="preserve"> within the Parish and </w:t>
      </w:r>
      <w:r w:rsidR="008368A5" w:rsidRPr="008368A5">
        <w:t>199</w:t>
      </w:r>
      <w:r w:rsidRPr="008368A5">
        <w:t xml:space="preserve"> are non-resident.</w:t>
      </w:r>
      <w:r w:rsidR="008368A5" w:rsidRPr="008368A5">
        <w:t xml:space="preserve"> The split between resident and non-</w:t>
      </w:r>
      <w:r w:rsidR="008368A5">
        <w:t>resident altered following the alteration of parish boundaries consequent upon the closure of St John’s Altrincham.</w:t>
      </w:r>
    </w:p>
    <w:p w:rsidR="00573D00" w:rsidRPr="00A810C5" w:rsidRDefault="00573D00" w:rsidP="00C67546">
      <w:pPr>
        <w:jc w:val="both"/>
        <w:rPr>
          <w:b/>
          <w:highlight w:val="yellow"/>
          <w:u w:val="single"/>
        </w:rPr>
      </w:pPr>
    </w:p>
    <w:p w:rsidR="00573D00" w:rsidRPr="007F2C3B" w:rsidRDefault="00573D00" w:rsidP="00C67546">
      <w:pPr>
        <w:jc w:val="both"/>
        <w:rPr>
          <w:b/>
          <w:u w:val="single"/>
        </w:rPr>
      </w:pPr>
      <w:r w:rsidRPr="007F2C3B">
        <w:rPr>
          <w:b/>
          <w:u w:val="single"/>
        </w:rPr>
        <w:t>Church Attendance 2017</w:t>
      </w:r>
    </w:p>
    <w:p w:rsidR="00573D00" w:rsidRDefault="00573D00" w:rsidP="00C67546">
      <w:pPr>
        <w:jc w:val="both"/>
      </w:pPr>
      <w:r w:rsidRPr="007F2C3B">
        <w:t xml:space="preserve">As </w:t>
      </w:r>
      <w:r>
        <w:t>in previous years, patterns of Church attendance varied across our Services.</w:t>
      </w:r>
    </w:p>
    <w:p w:rsidR="00573D00" w:rsidRDefault="00573D00" w:rsidP="00C67546">
      <w:pPr>
        <w:jc w:val="both"/>
      </w:pPr>
    </w:p>
    <w:p w:rsidR="00573D00" w:rsidRDefault="00573D00" w:rsidP="00C67546">
      <w:pPr>
        <w:jc w:val="both"/>
      </w:pPr>
      <w:r>
        <w:t>Attendance at our 8.30am Book of Common Prayer Holy Communion fell slightly to an annual average of 23 (2016: 26).  Lower attendance had been anticipated, but this Service continues to provide a foundation for our worship, and early indicators from 2018 suggest it remains popular.</w:t>
      </w:r>
    </w:p>
    <w:p w:rsidR="00573D00" w:rsidRDefault="00573D00" w:rsidP="00C67546">
      <w:pPr>
        <w:jc w:val="both"/>
      </w:pPr>
    </w:p>
    <w:p w:rsidR="00573D00" w:rsidRDefault="00573D00" w:rsidP="00C67546">
      <w:pPr>
        <w:jc w:val="both"/>
      </w:pPr>
      <w:r>
        <w:t xml:space="preserve">At 10am, average attendance again rose amongst both children and adults, peaking at 149 in early December 2017 (39 children and 110 adults).  From June to December attendance amongst children was 50 or more for at least one week each month (excluding August).  For the full year, average attendance at this Service was 30 children and 102 adults, the highest for recent years.  </w:t>
      </w:r>
      <w:proofErr w:type="gramStart"/>
      <w:r>
        <w:t>A number of</w:t>
      </w:r>
      <w:proofErr w:type="gramEnd"/>
      <w:r>
        <w:t xml:space="preserve"> new parents have joined our Sunday School team, and their support is greatly appreciated.</w:t>
      </w:r>
    </w:p>
    <w:p w:rsidR="00573D00" w:rsidRDefault="00573D00" w:rsidP="00C67546">
      <w:pPr>
        <w:jc w:val="both"/>
      </w:pPr>
    </w:p>
    <w:p w:rsidR="00573D00" w:rsidRDefault="00573D00" w:rsidP="00C67546">
      <w:pPr>
        <w:jc w:val="both"/>
      </w:pPr>
      <w:r>
        <w:t xml:space="preserve">Out monthly Toddler Service continued to be popular, </w:t>
      </w:r>
      <w:proofErr w:type="gramStart"/>
      <w:r>
        <w:t>and also</w:t>
      </w:r>
      <w:proofErr w:type="gramEnd"/>
      <w:r>
        <w:t xml:space="preserve"> saw high levels of attendance over the year.  Average attendance for the year was 52 children and 54 adults.  From January 2018 this </w:t>
      </w:r>
      <w:r>
        <w:lastRenderedPageBreak/>
        <w:t xml:space="preserve">Service will be renamed </w:t>
      </w:r>
      <w:r>
        <w:rPr>
          <w:i/>
        </w:rPr>
        <w:t>Family Praise</w:t>
      </w:r>
      <w:r>
        <w:t>, to reflect the number of families who continue to come after their children reach School age.  Seasonal fun days again took take place after some Services.</w:t>
      </w:r>
    </w:p>
    <w:p w:rsidR="00573D00" w:rsidRDefault="00573D00" w:rsidP="00C67546">
      <w:pPr>
        <w:jc w:val="both"/>
      </w:pPr>
    </w:p>
    <w:p w:rsidR="00573D00" w:rsidRDefault="00573D00" w:rsidP="00C67546">
      <w:pPr>
        <w:jc w:val="both"/>
      </w:pPr>
      <w:r>
        <w:t>Most Baptisms again took place during the afternoon, making it easier to accommodate the number of visitors who often attend, as well as helping families with travel arrangements.  A good number of families coming for Baptism engage with our Toddler Service, helping them to keep their Baptismal promises.  45 Baptisms took place in 2017 (2016: 47).  This total includes 2 adults baptised during our Confirmation Service with Bishop Graham Dow in October.  10 people were Confirmed in 2017.</w:t>
      </w:r>
    </w:p>
    <w:p w:rsidR="00573D00" w:rsidRDefault="00573D00" w:rsidP="00C67546">
      <w:pPr>
        <w:jc w:val="both"/>
      </w:pPr>
    </w:p>
    <w:p w:rsidR="00573D00" w:rsidRDefault="00573D00" w:rsidP="00C67546">
      <w:pPr>
        <w:jc w:val="both"/>
      </w:pPr>
      <w:r>
        <w:t>As reported last year, attendance at our Evening Services varies, with Choral Evensong and our two Carol Services continuing to be well supported, as are the Choral Passiontide Service and the annual All Souls’ Memorial Service.  Attendance at other Evening Services is less strong, and the decision was taken to change the 3</w:t>
      </w:r>
      <w:r w:rsidRPr="00B81A70">
        <w:rPr>
          <w:vertAlign w:val="superscript"/>
        </w:rPr>
        <w:t>rd</w:t>
      </w:r>
      <w:r>
        <w:t xml:space="preserve"> Sunday Evening Service each month from a Service of Holy Communion to Said Evensong, as this is an easier Service to put on.  During August, Churches Together in Hale (</w:t>
      </w:r>
      <w:proofErr w:type="spellStart"/>
      <w:r>
        <w:t>CTiH</w:t>
      </w:r>
      <w:proofErr w:type="spellEnd"/>
      <w:r>
        <w:t xml:space="preserve">) organise a cycle of combined ecumenical evening Services.  We did not host one at St Peter’s in 2017, but Songs of Praise at our sister Church of St Elizabeth’s Ashley was again well supported.  The quirks of the calendar meant we only held three Taizé Services in 2017, but these will continue whenever there is a fifth Sunday in the </w:t>
      </w:r>
      <w:proofErr w:type="gramStart"/>
      <w:r>
        <w:t>month, and</w:t>
      </w:r>
      <w:proofErr w:type="gramEnd"/>
      <w:r>
        <w:t xml:space="preserve"> are advertised to other local Churches as well.</w:t>
      </w:r>
    </w:p>
    <w:p w:rsidR="00573D00" w:rsidRDefault="00573D00" w:rsidP="00C67546">
      <w:pPr>
        <w:jc w:val="both"/>
      </w:pPr>
    </w:p>
    <w:p w:rsidR="00573D00" w:rsidRDefault="00573D00" w:rsidP="00C67546">
      <w:pPr>
        <w:jc w:val="both"/>
      </w:pPr>
      <w:r>
        <w:t xml:space="preserve">Our mid-week Wednesday congregation that meets in the Chapel of St Peter’s House continues to have an attendance typically between 15 and 20, and the fellowship time over refreshments afterwards is much appreciated.  </w:t>
      </w:r>
    </w:p>
    <w:p w:rsidR="00573D00" w:rsidRDefault="00573D00" w:rsidP="00C67546">
      <w:pPr>
        <w:jc w:val="both"/>
      </w:pPr>
    </w:p>
    <w:p w:rsidR="00573D00" w:rsidRDefault="00573D00" w:rsidP="00C67546">
      <w:pPr>
        <w:jc w:val="both"/>
      </w:pPr>
      <w:r>
        <w:t xml:space="preserve">As previously reported, we continue to see a trend away from extra attendance at Seasonal Services, but we will continue to offer a full programme of Services for Holy Week and Easter and at Christmas, when we again saw a good number of local nurseries and other groups come to St Peter’s for their Christmas celebrations.  </w:t>
      </w:r>
    </w:p>
    <w:p w:rsidR="00573D00" w:rsidRDefault="00573D00" w:rsidP="00C67546">
      <w:pPr>
        <w:jc w:val="both"/>
      </w:pPr>
    </w:p>
    <w:p w:rsidR="008368A5" w:rsidRDefault="00573D00" w:rsidP="00C67546">
      <w:pPr>
        <w:jc w:val="both"/>
      </w:pPr>
      <w:r>
        <w:t xml:space="preserve">We only had one wedding at St Peter’s in </w:t>
      </w:r>
      <w:r w:rsidR="008368A5">
        <w:t>2017 but</w:t>
      </w:r>
      <w:r>
        <w:t xml:space="preserve"> have more planned for 2018.  Sadly, the year ended with </w:t>
      </w:r>
      <w:proofErr w:type="gramStart"/>
      <w:r>
        <w:t>a number of</w:t>
      </w:r>
      <w:proofErr w:type="gramEnd"/>
      <w:r>
        <w:t xml:space="preserve"> families connected with the Church suffering bereavement, and we said farewell to several Church members during 2017</w:t>
      </w:r>
      <w:r w:rsidR="008368A5">
        <w:t xml:space="preserve"> of whom particular mention should be made of Roger </w:t>
      </w:r>
      <w:proofErr w:type="spellStart"/>
      <w:r w:rsidR="008368A5">
        <w:t>Plastow</w:t>
      </w:r>
      <w:proofErr w:type="spellEnd"/>
      <w:r w:rsidR="008368A5">
        <w:t xml:space="preserve"> after a long battle with cancer</w:t>
      </w:r>
      <w:r w:rsidR="00891525">
        <w:t>.</w:t>
      </w:r>
      <w:r w:rsidR="008368A5">
        <w:t xml:space="preserve"> Roger served as </w:t>
      </w:r>
      <w:proofErr w:type="spellStart"/>
      <w:r w:rsidR="008368A5">
        <w:t>treasure</w:t>
      </w:r>
      <w:proofErr w:type="spellEnd"/>
      <w:r w:rsidR="008368A5">
        <w:t xml:space="preserve"> of Mission in Action and Electoral Rol</w:t>
      </w:r>
      <w:r w:rsidR="00891525">
        <w:t>l</w:t>
      </w:r>
      <w:r w:rsidR="008368A5">
        <w:t xml:space="preserve"> officer for </w:t>
      </w:r>
      <w:proofErr w:type="gramStart"/>
      <w:r w:rsidR="008368A5">
        <w:t>a number of</w:t>
      </w:r>
      <w:proofErr w:type="gramEnd"/>
      <w:r w:rsidR="008368A5">
        <w:t xml:space="preserve"> years.</w:t>
      </w:r>
    </w:p>
    <w:p w:rsidR="00573D00" w:rsidRDefault="00573D00" w:rsidP="00C67546">
      <w:pPr>
        <w:jc w:val="both"/>
        <w:rPr>
          <w:highlight w:val="cyan"/>
        </w:rPr>
      </w:pPr>
      <w:r>
        <w:t>Our Funeral ministry continues to be an important part of our service to the community, and great care is taken by everyone involved in supporting families at this difficult time.</w:t>
      </w:r>
    </w:p>
    <w:p w:rsidR="00573D00" w:rsidRPr="00AA0F29" w:rsidRDefault="00573D00" w:rsidP="00C67546">
      <w:pPr>
        <w:jc w:val="both"/>
        <w:rPr>
          <w:b/>
          <w:highlight w:val="cyan"/>
        </w:rPr>
      </w:pPr>
    </w:p>
    <w:p w:rsidR="00573D00" w:rsidRPr="000E50AE" w:rsidRDefault="00573D00" w:rsidP="00C67546">
      <w:pPr>
        <w:jc w:val="both"/>
        <w:rPr>
          <w:b/>
          <w:u w:val="single"/>
        </w:rPr>
      </w:pPr>
      <w:r w:rsidRPr="000E50AE">
        <w:rPr>
          <w:b/>
          <w:u w:val="single"/>
        </w:rPr>
        <w:t>People</w:t>
      </w:r>
    </w:p>
    <w:p w:rsidR="00573D00" w:rsidRDefault="00573D00" w:rsidP="00C67546">
      <w:pPr>
        <w:jc w:val="both"/>
      </w:pPr>
      <w:r>
        <w:t>Our Curate, Revd Robin Pye moved on at Easter 2017, taking up the post of Vicar of St Philip and St James Alderley Edge, taking on the position vacated when Revd Jane Parry moved to St Paul with St Luke Tranmer</w:t>
      </w:r>
      <w:r w:rsidR="00891525">
        <w:t>e</w:t>
      </w:r>
      <w:r>
        <w:t>, replacing Revd Keith Addenbrooke when he became our Vicar.  John Moss and Julie Withers continue to maintain the high standard of worship leading we have become accustomed to, and the monthly All-Age Services Julie leads are carefully prepared, engaging and imaginative.</w:t>
      </w:r>
    </w:p>
    <w:p w:rsidR="00573D00" w:rsidRDefault="00573D00" w:rsidP="00C67546">
      <w:pPr>
        <w:jc w:val="both"/>
      </w:pPr>
    </w:p>
    <w:p w:rsidR="00573D00" w:rsidRDefault="00573D00" w:rsidP="00C67546">
      <w:pPr>
        <w:jc w:val="both"/>
      </w:pPr>
      <w:r>
        <w:t xml:space="preserve">Our choir continues to impress under the leadership of our Director of Music, Ellie Slorach, and the appointment of George Herbert as organist has further strengthened our choral worship.  As mentioned earlier, Matt Buckley has joined the staff team to develop our Youth Work, working alongside our volunteer Children’s Work Co-ordinator Jane Addenbrooke.  Alice Brown continues to serve as Verger, ably supported by Judy Holden and Nigel Davies when Alice is unable to be at mid-week Services.  Our Servers, led by Richard </w:t>
      </w:r>
      <w:proofErr w:type="spellStart"/>
      <w:r>
        <w:t>Ernill</w:t>
      </w:r>
      <w:proofErr w:type="spellEnd"/>
      <w:r w:rsidR="00891525">
        <w:t>,</w:t>
      </w:r>
      <w:r>
        <w:t xml:space="preserve"> are also instrumental in the smooth running of our Holy Communion Services, and would welcome any additional expressions of interest in this </w:t>
      </w:r>
      <w:r>
        <w:lastRenderedPageBreak/>
        <w:t xml:space="preserve">rewarding ministry.  Many others </w:t>
      </w:r>
      <w:proofErr w:type="gramStart"/>
      <w:r>
        <w:t>help out</w:t>
      </w:r>
      <w:proofErr w:type="gramEnd"/>
      <w:r>
        <w:t xml:space="preserve"> on Sundays, from </w:t>
      </w:r>
      <w:r w:rsidR="00891525">
        <w:t>w</w:t>
      </w:r>
      <w:r>
        <w:t>elcoming people as they arrive for Services until the last coffee cup is washed and the tables tidied away afterwards.  Thank you to all. For those who can’t easily get to Services, valuable pastoral support is offered by the Parish visiting team co-ordinated by Irene Gibbons, and is an important aspect of the life of our Church family.</w:t>
      </w:r>
    </w:p>
    <w:p w:rsidR="00573D00" w:rsidRDefault="00573D00" w:rsidP="00C67546">
      <w:pPr>
        <w:jc w:val="both"/>
      </w:pPr>
    </w:p>
    <w:p w:rsidR="00573D00" w:rsidRDefault="00573D00" w:rsidP="00C67546">
      <w:pPr>
        <w:jc w:val="both"/>
      </w:pPr>
      <w:r>
        <w:t xml:space="preserve">Change arrived in the Parish Office at the very end of the year, with Sarah Taafe moving on to a new career as a Teaching Assistant early in January 2018. The wonderful volunteers who already help Jayne </w:t>
      </w:r>
      <w:proofErr w:type="spellStart"/>
      <w:r>
        <w:t>Ingham</w:t>
      </w:r>
      <w:proofErr w:type="spellEnd"/>
      <w:r>
        <w:t xml:space="preserve"> as our Co-ordinator will be assisting once more while we recruit a new Administrator.  At the Assembly Rooms, Steve McGrath moved on, being replaced by Beth </w:t>
      </w:r>
      <w:proofErr w:type="spellStart"/>
      <w:r>
        <w:t>Wooler</w:t>
      </w:r>
      <w:proofErr w:type="spellEnd"/>
      <w:r>
        <w:t xml:space="preserve">. John </w:t>
      </w:r>
      <w:proofErr w:type="spellStart"/>
      <w:r>
        <w:t>Wooler</w:t>
      </w:r>
      <w:proofErr w:type="spellEnd"/>
      <w:r>
        <w:t xml:space="preserve"> (Beth’s Dad) continues to ensure the Assembly Rooms are well used by a wide variety of groups.</w:t>
      </w:r>
    </w:p>
    <w:p w:rsidR="00573D00" w:rsidRDefault="00573D00" w:rsidP="00C67546">
      <w:pPr>
        <w:jc w:val="both"/>
      </w:pPr>
    </w:p>
    <w:p w:rsidR="00573D00" w:rsidRDefault="00573D00" w:rsidP="00C67546">
      <w:pPr>
        <w:jc w:val="both"/>
      </w:pPr>
      <w:r>
        <w:t>Parish life never stands still, and we’re grateful to those who’ve taken up the reins of our monthly Young @ Heart Fellowship group, replacing our Mothers’ Union Branch.  Speaker</w:t>
      </w:r>
      <w:r w:rsidR="00891525">
        <w:t>s</w:t>
      </w:r>
      <w:r>
        <w:t xml:space="preserve"> hosted in 2017 included our local Member of Parliament, Graham Brady MP.  Other Groups continue to serve, and a </w:t>
      </w:r>
      <w:proofErr w:type="gramStart"/>
      <w:r>
        <w:t>particular mention</w:t>
      </w:r>
      <w:proofErr w:type="gramEnd"/>
      <w:r>
        <w:t xml:space="preserve"> is due to the Flower Guild, whose decoration of the Church Building for Christmas 2017 was most favourably commented on by visitors, including many of those attending Funerals in December.  Everyone who belongs to or runs a group contributes massively to the life of St Peter’s Church, and one only </w:t>
      </w:r>
      <w:proofErr w:type="gramStart"/>
      <w:r>
        <w:t>has to</w:t>
      </w:r>
      <w:proofErr w:type="gramEnd"/>
      <w:r>
        <w:t xml:space="preserve"> look at the weekly Welcome to Worship! sheet to see how much is going on.  Thank you once again to everyone who serves, in whatever capacity it is.  </w:t>
      </w:r>
    </w:p>
    <w:p w:rsidR="00573D00" w:rsidRDefault="00573D00" w:rsidP="00C67546">
      <w:pPr>
        <w:jc w:val="both"/>
      </w:pPr>
    </w:p>
    <w:p w:rsidR="00573D00" w:rsidRDefault="00573D00" w:rsidP="00C67546">
      <w:pPr>
        <w:jc w:val="both"/>
      </w:pPr>
      <w:r>
        <w:t>Thank you also to the 77 Church members who responded to our consultation on developing the Church Grounds.  Considerable support was shown for the idea of a discrete car park behind the Vicarage, and updates on progress with planning will be provided during 2018.</w:t>
      </w:r>
    </w:p>
    <w:p w:rsidR="00573D00" w:rsidRDefault="00573D00" w:rsidP="00C67546">
      <w:pPr>
        <w:jc w:val="both"/>
      </w:pPr>
    </w:p>
    <w:p w:rsidR="00573D00" w:rsidRPr="00573D00" w:rsidRDefault="00573D00" w:rsidP="00C67546">
      <w:pPr>
        <w:jc w:val="both"/>
        <w:rPr>
          <w:b/>
          <w:bCs/>
          <w:u w:val="single"/>
        </w:rPr>
      </w:pPr>
      <w:r>
        <w:t xml:space="preserve">Finally, there are </w:t>
      </w:r>
      <w:proofErr w:type="gramStart"/>
      <w:r>
        <w:t>a number of</w:t>
      </w:r>
      <w:proofErr w:type="gramEnd"/>
      <w:r>
        <w:t xml:space="preserve"> key positions that we do need to fill at our Annual Meeting in April 2018, including the election of two new Church Wardens</w:t>
      </w:r>
      <w:r w:rsidR="008368A5">
        <w:t xml:space="preserve"> and an Electoral Rol</w:t>
      </w:r>
      <w:r w:rsidR="005559C8">
        <w:t>l</w:t>
      </w:r>
      <w:r w:rsidR="008368A5">
        <w:t xml:space="preserve"> Officer.</w:t>
      </w:r>
      <w:r>
        <w:t xml:space="preserve"> We will be saying thank you to Keith Neal as his term of office </w:t>
      </w:r>
      <w:proofErr w:type="gramStart"/>
      <w:r>
        <w:t>draws to a close</w:t>
      </w:r>
      <w:proofErr w:type="gramEnd"/>
      <w:r>
        <w:t>, as well as to the team of deputy wardens who have helped out while we’ve only had one formally appointed Warden.  We will be looking to appoint two going forwards.  Further information on these and other roles will be made available during the early months of 2018 – please do prayerfully consider how you might help us to continue to serve our community as the Parish Church of Hale in the months and years to come.</w:t>
      </w:r>
      <w:r>
        <w:rPr>
          <w:b/>
          <w:bCs/>
          <w:u w:val="single"/>
        </w:rPr>
        <w:t xml:space="preserve"> </w:t>
      </w:r>
    </w:p>
    <w:p w:rsidR="00573D00" w:rsidRDefault="00573D00" w:rsidP="00C67546">
      <w:pPr>
        <w:ind w:left="2880"/>
        <w:jc w:val="both"/>
        <w:rPr>
          <w:b/>
          <w:u w:val="single"/>
        </w:rPr>
      </w:pPr>
    </w:p>
    <w:p w:rsidR="00FC7A2E" w:rsidRPr="00FC7A2E" w:rsidRDefault="00FC7A2E" w:rsidP="00C67546">
      <w:pPr>
        <w:jc w:val="both"/>
        <w:rPr>
          <w:b/>
          <w:u w:val="single"/>
        </w:rPr>
      </w:pPr>
      <w:r w:rsidRPr="00FC7A2E">
        <w:rPr>
          <w:b/>
          <w:u w:val="single"/>
        </w:rPr>
        <w:t>Bowdon Deanery Synod 2017</w:t>
      </w:r>
    </w:p>
    <w:p w:rsidR="00FC7A2E" w:rsidRPr="00FC7A2E" w:rsidRDefault="00FC7A2E" w:rsidP="00C67546">
      <w:pPr>
        <w:jc w:val="both"/>
      </w:pPr>
      <w:r w:rsidRPr="00FC7A2E">
        <w:t xml:space="preserve">Deanery synod met three times over the year.  </w:t>
      </w:r>
    </w:p>
    <w:p w:rsidR="00FC7A2E" w:rsidRPr="00FC7A2E" w:rsidRDefault="00FC7A2E" w:rsidP="00C67546">
      <w:pPr>
        <w:jc w:val="both"/>
      </w:pPr>
      <w:r w:rsidRPr="00FC7A2E">
        <w:t>In May we had a thought provoking presentation from Rebekah Turner, the Regional Co-ordinator for Christian Aid.  We considered what life is like as a refugee and how we would feel if forced to make a very sudden house move with little or no notice.  We also discussed what we consider to be a “safe space” and what it may be like to live without hope.  Rebekah suggested that God shines through to the hopeless through us.  All our support for the work of Christian Aid helps bring hope.</w:t>
      </w:r>
    </w:p>
    <w:p w:rsidR="00FC7A2E" w:rsidRPr="00FC7A2E" w:rsidRDefault="00FC7A2E" w:rsidP="00C67546">
      <w:pPr>
        <w:jc w:val="both"/>
      </w:pPr>
      <w:r w:rsidRPr="00FC7A2E">
        <w:t>We received a report on General Synod from Lucy Brewster, a new representative.  She shared with us 3 positives that she has found from General Synod:</w:t>
      </w:r>
    </w:p>
    <w:p w:rsidR="00FC7A2E" w:rsidRPr="00FC7A2E" w:rsidRDefault="00FC7A2E" w:rsidP="00C67546">
      <w:pPr>
        <w:jc w:val="both"/>
      </w:pPr>
      <w:r w:rsidRPr="00FC7A2E">
        <w:t>General Synod makes a difference – it can lobby government and apply pressure, e.g. about the number of refugees accepted.  It can also change Canon Law.</w:t>
      </w:r>
    </w:p>
    <w:p w:rsidR="00FC7A2E" w:rsidRPr="00FC7A2E" w:rsidRDefault="00FC7A2E" w:rsidP="00C67546">
      <w:pPr>
        <w:jc w:val="both"/>
      </w:pPr>
      <w:r w:rsidRPr="00FC7A2E">
        <w:t>The Church of England makes a difference – it is held in high regard for Theological training, Cathedral outreach, Fresh Expressions and schools work.</w:t>
      </w:r>
    </w:p>
    <w:p w:rsidR="00FC7A2E" w:rsidRPr="00FC7A2E" w:rsidRDefault="00FC7A2E" w:rsidP="00C67546">
      <w:pPr>
        <w:jc w:val="both"/>
      </w:pPr>
      <w:r w:rsidRPr="00FC7A2E">
        <w:t>Laity make a difference – “It’s our job!”  We are all ambassadors for Christ.  We are encouraged to continue to pray for the Archbishops and Bishops – particularly when contentious issues come to the fore.  We are also asked to pray for all General Synod members.</w:t>
      </w:r>
    </w:p>
    <w:p w:rsidR="00FC7A2E" w:rsidRPr="00FC7A2E" w:rsidRDefault="00FC7A2E" w:rsidP="00C67546">
      <w:pPr>
        <w:jc w:val="both"/>
      </w:pPr>
      <w:r w:rsidRPr="00FC7A2E">
        <w:t xml:space="preserve">This was the final meeting at which John Legg would be Lay Chair.  He had completed 3 years in the role.  The Rural Dean, Revd Julian Heaton thanked John for being a good servant to Synod.  Only </w:t>
      </w:r>
      <w:r w:rsidRPr="00FC7A2E">
        <w:lastRenderedPageBreak/>
        <w:t xml:space="preserve">one candidate had volunteered to stand as Lay </w:t>
      </w:r>
      <w:proofErr w:type="gramStart"/>
      <w:r w:rsidRPr="00FC7A2E">
        <w:t>Chair</w:t>
      </w:r>
      <w:proofErr w:type="gramEnd"/>
      <w:r w:rsidRPr="00FC7A2E">
        <w:t xml:space="preserve"> so no election was necessary and </w:t>
      </w:r>
      <w:r w:rsidR="005559C8">
        <w:t>Julie Withers</w:t>
      </w:r>
      <w:r w:rsidRPr="00FC7A2E">
        <w:t xml:space="preserve"> therefore was elected to the post.</w:t>
      </w:r>
    </w:p>
    <w:p w:rsidR="00FC7A2E" w:rsidRPr="00FC7A2E" w:rsidRDefault="00FC7A2E" w:rsidP="00C67546">
      <w:pPr>
        <w:jc w:val="both"/>
      </w:pPr>
      <w:r w:rsidRPr="00FC7A2E">
        <w:t xml:space="preserve">In October the Diocesan </w:t>
      </w:r>
      <w:proofErr w:type="spellStart"/>
      <w:r w:rsidRPr="00FC7A2E">
        <w:t>Missioner</w:t>
      </w:r>
      <w:proofErr w:type="spellEnd"/>
      <w:r w:rsidRPr="00FC7A2E">
        <w:t xml:space="preserve"> gave a presentation on her role and how the Mission Strategy seeks to inspire the younger generation.   Revd Dr Andrew Knight and I then gave a presentation on the report from General Synod’s Renewal and Reform committee on “Setting God’s People Free” (SGPF for short!) This report seeks to encourage work on culture change across the Church of England with much more emphasis being placed on how the church can support Christians as they live out their faith Monday to Saturday.  Chester Diocese is one of 9 pilot Dioceses working on this and it is a high priority in the Diocese.  We will therefore continue to hear about “Setting God’s People Free”.  If anyone has any questions about </w:t>
      </w:r>
      <w:proofErr w:type="gramStart"/>
      <w:r w:rsidRPr="00FC7A2E">
        <w:t>this</w:t>
      </w:r>
      <w:proofErr w:type="gramEnd"/>
      <w:r w:rsidRPr="00FC7A2E">
        <w:t xml:space="preserve"> please ask me.</w:t>
      </w:r>
    </w:p>
    <w:p w:rsidR="00FC7A2E" w:rsidRPr="00FC7A2E" w:rsidRDefault="00FC7A2E" w:rsidP="00C67546">
      <w:pPr>
        <w:jc w:val="both"/>
      </w:pPr>
      <w:r w:rsidRPr="00FC7A2E">
        <w:t xml:space="preserve">October was the final meeting of the Rural Dean Revd Julian Heaton as he was moving to the Diocese of Manchester as Rector of Bury Parish Church.  Bishop Peter appointed Revd Claire </w:t>
      </w:r>
      <w:proofErr w:type="spellStart"/>
      <w:r w:rsidRPr="00FC7A2E">
        <w:t>Jacquiss</w:t>
      </w:r>
      <w:proofErr w:type="spellEnd"/>
      <w:r w:rsidRPr="00FC7A2E">
        <w:t xml:space="preserve"> as our new Rural Dean.</w:t>
      </w:r>
    </w:p>
    <w:p w:rsidR="00FC7A2E" w:rsidRPr="00FC7A2E" w:rsidRDefault="00FC7A2E" w:rsidP="00C67546">
      <w:pPr>
        <w:jc w:val="both"/>
      </w:pPr>
      <w:r w:rsidRPr="00FC7A2E">
        <w:t>In January a presentation was given by Hannah Dobbins, Regional Manager of the Bible Society, about the work they do “Bringing the Bible to Life”.  She mentioned the increase in demand for Bibles around the world, especially where there is hardship and trauma.  Hannah highlighted the work being done in this country to encourage people to read and engage with the Bible.  A lot of work is focussed on schools.</w:t>
      </w:r>
    </w:p>
    <w:p w:rsidR="00FC7A2E" w:rsidRPr="00FC7A2E" w:rsidRDefault="00FC7A2E" w:rsidP="00C67546">
      <w:pPr>
        <w:jc w:val="both"/>
      </w:pPr>
      <w:r w:rsidRPr="00FC7A2E">
        <w:t>As Lay Chair I reminded members of the forthcoming elections for representative for Diocesan Synod.  Any person on the electoral roll of a church in the Deanery can stand for election but it is Deanery Synod members who vote.  There are 7 places for laity and 5 for clergy.  Having only had 2 clergy places filled last time, I hope we may have a full complement this time.  There are only 2 meetings per year on Saturday mornings and membership of Diocesan Synod is not onerous.  It is</w:t>
      </w:r>
      <w:r w:rsidR="005559C8">
        <w:t xml:space="preserve">, </w:t>
      </w:r>
      <w:r w:rsidRPr="00FC7A2E">
        <w:t>however, interesting.</w:t>
      </w:r>
    </w:p>
    <w:p w:rsidR="00FC7A2E" w:rsidRPr="00FC7A2E" w:rsidRDefault="00FC7A2E" w:rsidP="00C67546">
      <w:pPr>
        <w:jc w:val="both"/>
      </w:pPr>
      <w:r w:rsidRPr="00FC7A2E">
        <w:t>The Rural Dean, Revd Claire asked representatives to take some questions back to the parishes:</w:t>
      </w:r>
    </w:p>
    <w:p w:rsidR="00FC7A2E" w:rsidRPr="00FC7A2E" w:rsidRDefault="00FC7A2E" w:rsidP="00C67546">
      <w:pPr>
        <w:pStyle w:val="ListParagraph"/>
        <w:numPr>
          <w:ilvl w:val="0"/>
          <w:numId w:val="7"/>
        </w:numPr>
        <w:spacing w:after="160" w:line="259" w:lineRule="auto"/>
        <w:jc w:val="both"/>
      </w:pPr>
      <w:r w:rsidRPr="00FC7A2E">
        <w:t>What type of things do we want to do as a Deanery/in the Deanery?</w:t>
      </w:r>
    </w:p>
    <w:p w:rsidR="00FC7A2E" w:rsidRPr="00FC7A2E" w:rsidRDefault="00FC7A2E" w:rsidP="00C67546">
      <w:pPr>
        <w:pStyle w:val="ListParagraph"/>
        <w:numPr>
          <w:ilvl w:val="0"/>
          <w:numId w:val="7"/>
        </w:numPr>
        <w:spacing w:after="160" w:line="259" w:lineRule="auto"/>
        <w:jc w:val="both"/>
      </w:pPr>
      <w:r w:rsidRPr="00FC7A2E">
        <w:t>What do we need to enable this?</w:t>
      </w:r>
    </w:p>
    <w:p w:rsidR="00FC7A2E" w:rsidRPr="00FC7A2E" w:rsidRDefault="00FC7A2E" w:rsidP="00C67546">
      <w:pPr>
        <w:pStyle w:val="ListParagraph"/>
        <w:numPr>
          <w:ilvl w:val="0"/>
          <w:numId w:val="7"/>
        </w:numPr>
        <w:spacing w:after="160" w:line="259" w:lineRule="auto"/>
        <w:jc w:val="both"/>
      </w:pPr>
      <w:r w:rsidRPr="00FC7A2E">
        <w:t>In what ways might we work with other churches in our Deanery to help our congregations have a greater impact in their Monday to Saturday lives?</w:t>
      </w:r>
    </w:p>
    <w:p w:rsidR="00FC7A2E" w:rsidRPr="00FC7A2E" w:rsidRDefault="00FC7A2E" w:rsidP="00C67546">
      <w:pPr>
        <w:jc w:val="both"/>
      </w:pPr>
      <w:r w:rsidRPr="00FC7A2E">
        <w:t>Claire also suggested that we may in future have a resources table so that, given notice, parishes could bring resources that had been helpful to them on different topics, e.g. prayer.</w:t>
      </w:r>
    </w:p>
    <w:p w:rsidR="00FC7A2E" w:rsidRPr="00FC7A2E" w:rsidRDefault="00FC7A2E" w:rsidP="00C67546">
      <w:pPr>
        <w:jc w:val="both"/>
      </w:pPr>
      <w:r w:rsidRPr="00FC7A2E">
        <w:t>I believe we still have a vacancy for a representative to Deanery Synod.  Our reps are Julie Withers John Legg, Grahame Elliott and Kate Hass.</w:t>
      </w:r>
    </w:p>
    <w:p w:rsidR="00573D00" w:rsidRPr="00FC7A2E" w:rsidRDefault="00573D00" w:rsidP="007A24E9">
      <w:pPr>
        <w:ind w:left="2880"/>
        <w:rPr>
          <w:b/>
          <w:u w:val="single"/>
        </w:rPr>
      </w:pPr>
    </w:p>
    <w:p w:rsidR="00573D00" w:rsidRDefault="00573D00" w:rsidP="007A24E9">
      <w:pPr>
        <w:ind w:left="2880"/>
        <w:rPr>
          <w:b/>
          <w:u w:val="single"/>
        </w:rPr>
      </w:pPr>
    </w:p>
    <w:p w:rsidR="00B14955" w:rsidRDefault="00B14955" w:rsidP="007A24E9">
      <w:pPr>
        <w:jc w:val="both"/>
        <w:rPr>
          <w:b/>
          <w:u w:val="single"/>
        </w:rPr>
      </w:pPr>
      <w:r w:rsidRPr="00B14955">
        <w:rPr>
          <w:b/>
          <w:u w:val="single"/>
        </w:rPr>
        <w:t>Financial Review</w:t>
      </w:r>
    </w:p>
    <w:p w:rsidR="00B10617" w:rsidRDefault="00877EF6" w:rsidP="007A24E9">
      <w:pPr>
        <w:jc w:val="both"/>
      </w:pPr>
      <w:r>
        <w:t>The income to support the Church in its</w:t>
      </w:r>
      <w:r w:rsidR="00B10617">
        <w:t xml:space="preserve"> mission</w:t>
      </w:r>
      <w:r w:rsidR="007F20ED">
        <w:t>,</w:t>
      </w:r>
      <w:r w:rsidR="00B10617">
        <w:t xml:space="preserve"> pastoral social and ecumenical is the sum of giving </w:t>
      </w:r>
      <w:r w:rsidR="007F20ED">
        <w:t xml:space="preserve">by parishioners, </w:t>
      </w:r>
      <w:r w:rsidR="00B10617">
        <w:t>both planned and unplanned</w:t>
      </w:r>
      <w:r w:rsidR="007F20ED">
        <w:t>,</w:t>
      </w:r>
      <w:r w:rsidR="00B10617">
        <w:t xml:space="preserve"> together with </w:t>
      </w:r>
      <w:r w:rsidR="00D81AD4">
        <w:t>any surplus</w:t>
      </w:r>
      <w:r w:rsidR="00B10617">
        <w:t xml:space="preserve"> generated from the letting of facilities </w:t>
      </w:r>
      <w:r w:rsidR="007F20ED">
        <w:t>for</w:t>
      </w:r>
      <w:r w:rsidR="00B10617">
        <w:t xml:space="preserve"> local community activities.</w:t>
      </w:r>
    </w:p>
    <w:p w:rsidR="00D81AD4" w:rsidRDefault="00D81AD4" w:rsidP="007A24E9">
      <w:pPr>
        <w:jc w:val="both"/>
      </w:pPr>
    </w:p>
    <w:p w:rsidR="00D81AD4" w:rsidRDefault="00B10617" w:rsidP="007A24E9">
      <w:pPr>
        <w:jc w:val="both"/>
      </w:pPr>
      <w:r>
        <w:t>The income from planned and unplanned giving</w:t>
      </w:r>
      <w:r w:rsidR="007F20ED">
        <w:t>,</w:t>
      </w:r>
      <w:r>
        <w:t xml:space="preserve"> including collections and tax rebates for 201</w:t>
      </w:r>
      <w:r w:rsidR="005B5D04">
        <w:t>7</w:t>
      </w:r>
      <w:r w:rsidR="007F20ED">
        <w:t>,</w:t>
      </w:r>
      <w:r>
        <w:t xml:space="preserve"> was £1</w:t>
      </w:r>
      <w:r w:rsidR="005B5D04">
        <w:t>46,952</w:t>
      </w:r>
      <w:r w:rsidR="007F20ED">
        <w:t>.</w:t>
      </w:r>
      <w:r>
        <w:t xml:space="preserve"> </w:t>
      </w:r>
      <w:r w:rsidR="007F20ED">
        <w:t>T</w:t>
      </w:r>
      <w:r>
        <w:t xml:space="preserve">his </w:t>
      </w:r>
      <w:r w:rsidR="007F20ED">
        <w:t xml:space="preserve">equates to </w:t>
      </w:r>
      <w:r>
        <w:t>a monthly income of £</w:t>
      </w:r>
      <w:r w:rsidR="005B5D04">
        <w:t>12,246</w:t>
      </w:r>
      <w:r>
        <w:t>, a</w:t>
      </w:r>
      <w:r w:rsidR="005B5D04">
        <w:t>n</w:t>
      </w:r>
      <w:r>
        <w:t xml:space="preserve"> </w:t>
      </w:r>
      <w:r w:rsidR="005B5D04">
        <w:t>8</w:t>
      </w:r>
      <w:r>
        <w:t xml:space="preserve">% </w:t>
      </w:r>
      <w:r w:rsidR="005B5D04">
        <w:t>in</w:t>
      </w:r>
      <w:r>
        <w:t>crease on 201</w:t>
      </w:r>
      <w:r w:rsidR="005B5D04">
        <w:t>6</w:t>
      </w:r>
      <w:r>
        <w:t>.</w:t>
      </w:r>
      <w:r w:rsidR="007F20ED">
        <w:t xml:space="preserve"> </w:t>
      </w:r>
      <w:r w:rsidR="008C17D8">
        <w:t>The numbers participating in</w:t>
      </w:r>
      <w:r w:rsidR="000904AB">
        <w:t xml:space="preserve"> </w:t>
      </w:r>
      <w:r w:rsidR="008C17D8">
        <w:t>planned giving have fallen by a further 4% from last year to 1</w:t>
      </w:r>
      <w:r w:rsidR="005B5D04">
        <w:t>76</w:t>
      </w:r>
      <w:r w:rsidR="007F20ED">
        <w:t>, down</w:t>
      </w:r>
      <w:r w:rsidR="008C17D8">
        <w:t xml:space="preserve"> from a total of 210 in 2013. </w:t>
      </w:r>
      <w:r w:rsidR="005B5D04">
        <w:t xml:space="preserve">The stewardship campaign during the year resulted in an 8% increase in the </w:t>
      </w:r>
      <w:r w:rsidR="005559C8">
        <w:t>p</w:t>
      </w:r>
      <w:r w:rsidR="005B5D04">
        <w:t>lanned and unplanned giving. We recruited an additional 5 new members of the giving scheme, however we lost 8 members of the scheme due to death and people moving away. The average giving per person</w:t>
      </w:r>
      <w:r w:rsidR="00A56964">
        <w:t xml:space="preserve"> increased by</w:t>
      </w:r>
      <w:r w:rsidR="0008222D">
        <w:t xml:space="preserve"> 13%.</w:t>
      </w:r>
    </w:p>
    <w:p w:rsidR="004F3B21" w:rsidRPr="00120F9F" w:rsidRDefault="00716442" w:rsidP="007A24E9">
      <w:pPr>
        <w:jc w:val="both"/>
      </w:pPr>
      <w:r>
        <w:t xml:space="preserve">Other </w:t>
      </w:r>
      <w:r w:rsidRPr="00120F9F">
        <w:t>donations amounted to £1</w:t>
      </w:r>
      <w:r w:rsidR="00A56964" w:rsidRPr="00120F9F">
        <w:t>1,352</w:t>
      </w:r>
      <w:r w:rsidR="007F20ED" w:rsidRPr="00120F9F">
        <w:t>,</w:t>
      </w:r>
      <w:r w:rsidRPr="00120F9F">
        <w:t xml:space="preserve"> which included £</w:t>
      </w:r>
      <w:r w:rsidR="00A56964" w:rsidRPr="00120F9F">
        <w:t>5</w:t>
      </w:r>
      <w:r w:rsidRPr="00120F9F">
        <w:t xml:space="preserve">,000 from the </w:t>
      </w:r>
      <w:r w:rsidR="008E5CAF" w:rsidRPr="00120F9F">
        <w:t>Heritage</w:t>
      </w:r>
      <w:r w:rsidRPr="00120F9F">
        <w:t xml:space="preserve"> </w:t>
      </w:r>
      <w:r w:rsidR="005559C8">
        <w:t>T</w:t>
      </w:r>
      <w:r w:rsidRPr="00120F9F">
        <w:t>rust for work on the</w:t>
      </w:r>
      <w:r w:rsidR="005559C8">
        <w:t xml:space="preserve"> c</w:t>
      </w:r>
      <w:r w:rsidR="00A56964" w:rsidRPr="00120F9F">
        <w:t>himes</w:t>
      </w:r>
      <w:r w:rsidRPr="00120F9F">
        <w:t>.</w:t>
      </w:r>
      <w:r w:rsidR="008C17D8" w:rsidRPr="00120F9F">
        <w:t xml:space="preserve"> </w:t>
      </w:r>
      <w:r w:rsidR="004F3B21" w:rsidRPr="00120F9F">
        <w:t>Income from Church lettings, St Peter</w:t>
      </w:r>
      <w:r w:rsidR="007F20ED" w:rsidRPr="00120F9F">
        <w:t>’</w:t>
      </w:r>
      <w:r w:rsidR="004F3B21" w:rsidRPr="00120F9F">
        <w:t xml:space="preserve">s Assembly </w:t>
      </w:r>
      <w:r w:rsidR="00502B03">
        <w:t>R</w:t>
      </w:r>
      <w:r w:rsidR="004F3B21" w:rsidRPr="00120F9F">
        <w:t>oom</w:t>
      </w:r>
      <w:r w:rsidR="00502B03">
        <w:t>s</w:t>
      </w:r>
      <w:r w:rsidR="004F3B21" w:rsidRPr="00120F9F">
        <w:t>, St Peter</w:t>
      </w:r>
      <w:r w:rsidR="007F20ED" w:rsidRPr="00120F9F">
        <w:t>’</w:t>
      </w:r>
      <w:r w:rsidR="004F3B21" w:rsidRPr="00120F9F">
        <w:t>s House,</w:t>
      </w:r>
      <w:r w:rsidR="00120F9F" w:rsidRPr="00120F9F">
        <w:t xml:space="preserve"> </w:t>
      </w:r>
      <w:r w:rsidR="00A56964" w:rsidRPr="00120F9F">
        <w:t xml:space="preserve">the letting </w:t>
      </w:r>
      <w:r w:rsidR="00A56964" w:rsidRPr="00120F9F">
        <w:lastRenderedPageBreak/>
        <w:t>of S</w:t>
      </w:r>
      <w:r w:rsidR="00120F9F" w:rsidRPr="00120F9F">
        <w:t>ch</w:t>
      </w:r>
      <w:r w:rsidR="00A56964" w:rsidRPr="00120F9F">
        <w:t xml:space="preserve">ool </w:t>
      </w:r>
      <w:r w:rsidR="00120F9F" w:rsidRPr="00120F9F">
        <w:t>House, the</w:t>
      </w:r>
      <w:r w:rsidR="004F3B21" w:rsidRPr="00120F9F">
        <w:t xml:space="preserve"> magazine</w:t>
      </w:r>
      <w:r w:rsidR="007F20ED" w:rsidRPr="00120F9F">
        <w:t>,</w:t>
      </w:r>
      <w:r w:rsidR="004F3B21" w:rsidRPr="00120F9F">
        <w:t xml:space="preserve"> </w:t>
      </w:r>
      <w:r w:rsidR="007F20ED" w:rsidRPr="00120F9F">
        <w:t>f</w:t>
      </w:r>
      <w:r w:rsidR="004F3B21" w:rsidRPr="00120F9F">
        <w:t xml:space="preserve">ees and interest added </w:t>
      </w:r>
      <w:r w:rsidR="00951C89" w:rsidRPr="00120F9F">
        <w:t>a further £</w:t>
      </w:r>
      <w:r w:rsidR="00120F9F" w:rsidRPr="00120F9F">
        <w:t>99,247</w:t>
      </w:r>
      <w:r w:rsidR="00DC7FD9" w:rsidRPr="00120F9F">
        <w:t xml:space="preserve"> to bring the </w:t>
      </w:r>
      <w:r w:rsidR="007F20ED" w:rsidRPr="00120F9F">
        <w:t>t</w:t>
      </w:r>
      <w:r w:rsidR="00DC7FD9" w:rsidRPr="00120F9F">
        <w:t>otal</w:t>
      </w:r>
      <w:r w:rsidR="005559C8">
        <w:t xml:space="preserve"> u</w:t>
      </w:r>
      <w:r w:rsidR="00DC7FD9" w:rsidRPr="00120F9F">
        <w:t>nrestricted income to</w:t>
      </w:r>
      <w:r w:rsidR="008C17D8" w:rsidRPr="00120F9F">
        <w:t xml:space="preserve"> </w:t>
      </w:r>
      <w:r w:rsidR="00951C89" w:rsidRPr="00120F9F">
        <w:t>£2</w:t>
      </w:r>
      <w:r w:rsidR="00120F9F" w:rsidRPr="00120F9F">
        <w:t>57,551</w:t>
      </w:r>
      <w:r w:rsidR="005559C8">
        <w:t>.</w:t>
      </w:r>
    </w:p>
    <w:p w:rsidR="00716442" w:rsidRPr="00120F9F" w:rsidRDefault="00716442" w:rsidP="007A24E9">
      <w:pPr>
        <w:jc w:val="both"/>
      </w:pPr>
      <w:r w:rsidRPr="00120F9F">
        <w:t xml:space="preserve">The </w:t>
      </w:r>
      <w:r w:rsidR="007F20ED" w:rsidRPr="00120F9F">
        <w:t>s</w:t>
      </w:r>
      <w:r w:rsidRPr="00120F9F">
        <w:t>urpluses generated from St Peter</w:t>
      </w:r>
      <w:r w:rsidR="007F20ED" w:rsidRPr="00120F9F">
        <w:t>’</w:t>
      </w:r>
      <w:r w:rsidRPr="00120F9F">
        <w:t xml:space="preserve">s Assembly </w:t>
      </w:r>
      <w:r w:rsidR="005559C8">
        <w:t>R</w:t>
      </w:r>
      <w:r w:rsidRPr="00120F9F">
        <w:t>ooms, £</w:t>
      </w:r>
      <w:r w:rsidR="00120F9F" w:rsidRPr="00120F9F">
        <w:t>35,212</w:t>
      </w:r>
      <w:r w:rsidRPr="00120F9F">
        <w:t>, St Peter</w:t>
      </w:r>
      <w:r w:rsidR="007F20ED" w:rsidRPr="00120F9F">
        <w:t>’</w:t>
      </w:r>
      <w:r w:rsidRPr="00120F9F">
        <w:t>s House £</w:t>
      </w:r>
      <w:r w:rsidR="00120F9F" w:rsidRPr="00120F9F">
        <w:t>8,216</w:t>
      </w:r>
      <w:r w:rsidRPr="00120F9F">
        <w:t xml:space="preserve"> and</w:t>
      </w:r>
      <w:r w:rsidR="00951C89" w:rsidRPr="00120F9F">
        <w:t xml:space="preserve"> the </w:t>
      </w:r>
      <w:r w:rsidR="005559C8">
        <w:t>m</w:t>
      </w:r>
      <w:r w:rsidR="00951C89" w:rsidRPr="00120F9F">
        <w:t>agazine £</w:t>
      </w:r>
      <w:r w:rsidR="00120F9F" w:rsidRPr="00120F9F">
        <w:t>179</w:t>
      </w:r>
      <w:r w:rsidR="00951C89" w:rsidRPr="00120F9F">
        <w:t xml:space="preserve"> total £</w:t>
      </w:r>
      <w:r w:rsidR="00120F9F" w:rsidRPr="00120F9F">
        <w:t>43,607</w:t>
      </w:r>
      <w:r w:rsidR="007F20ED" w:rsidRPr="00120F9F">
        <w:t>,</w:t>
      </w:r>
      <w:r w:rsidRPr="00120F9F">
        <w:t xml:space="preserve"> </w:t>
      </w:r>
      <w:r w:rsidR="00120F9F" w:rsidRPr="00120F9F">
        <w:t>a 75</w:t>
      </w:r>
      <w:r w:rsidRPr="00120F9F">
        <w:t>% increase over 201</w:t>
      </w:r>
      <w:r w:rsidR="00120F9F" w:rsidRPr="00120F9F">
        <w:t>6</w:t>
      </w:r>
      <w:r w:rsidRPr="00120F9F">
        <w:t>.</w:t>
      </w:r>
    </w:p>
    <w:p w:rsidR="00DC7FD9" w:rsidRPr="00120F9F" w:rsidRDefault="00DC7FD9" w:rsidP="007A24E9">
      <w:pPr>
        <w:jc w:val="both"/>
      </w:pPr>
    </w:p>
    <w:p w:rsidR="00F84823" w:rsidRPr="00DF5FA9" w:rsidRDefault="00DC7FD9" w:rsidP="007A24E9">
      <w:pPr>
        <w:jc w:val="both"/>
      </w:pPr>
      <w:r w:rsidRPr="00DF5FA9">
        <w:t xml:space="preserve">Expenditure on </w:t>
      </w:r>
      <w:r w:rsidR="007F20ED" w:rsidRPr="00DF5FA9">
        <w:t>r</w:t>
      </w:r>
      <w:r w:rsidRPr="00DF5FA9">
        <w:t xml:space="preserve">unning the Church including </w:t>
      </w:r>
      <w:r w:rsidR="007F20ED" w:rsidRPr="00DF5FA9">
        <w:t>d</w:t>
      </w:r>
      <w:r w:rsidRPr="00DF5FA9">
        <w:t xml:space="preserve">iocese and </w:t>
      </w:r>
      <w:r w:rsidR="007F20ED" w:rsidRPr="00DF5FA9">
        <w:t>c</w:t>
      </w:r>
      <w:r w:rsidRPr="00DF5FA9">
        <w:t xml:space="preserve">lergy costs, </w:t>
      </w:r>
      <w:r w:rsidR="00F84823" w:rsidRPr="00DF5FA9">
        <w:t>he</w:t>
      </w:r>
      <w:r w:rsidRPr="00DF5FA9">
        <w:t>ating</w:t>
      </w:r>
      <w:r w:rsidR="00F84823" w:rsidRPr="00DF5FA9">
        <w:t>,</w:t>
      </w:r>
      <w:r w:rsidRPr="00DF5FA9">
        <w:t xml:space="preserve"> </w:t>
      </w:r>
      <w:r w:rsidR="00F84823" w:rsidRPr="00DF5FA9">
        <w:t>lighting, salaries</w:t>
      </w:r>
      <w:r w:rsidR="001B0121" w:rsidRPr="00DF5FA9">
        <w:t>,</w:t>
      </w:r>
      <w:r w:rsidR="00F84823" w:rsidRPr="00DF5FA9">
        <w:t xml:space="preserve"> admin</w:t>
      </w:r>
      <w:r w:rsidR="007F20ED" w:rsidRPr="00DF5FA9">
        <w:t>istration</w:t>
      </w:r>
      <w:r w:rsidR="00F84823" w:rsidRPr="00DF5FA9">
        <w:t xml:space="preserve">, repairs to the </w:t>
      </w:r>
      <w:r w:rsidR="001B0121" w:rsidRPr="00DF5FA9">
        <w:t>C</w:t>
      </w:r>
      <w:r w:rsidR="00F84823" w:rsidRPr="00DF5FA9">
        <w:t>hurch</w:t>
      </w:r>
      <w:r w:rsidR="00D81AD4" w:rsidRPr="00DF5FA9">
        <w:t>,</w:t>
      </w:r>
      <w:r w:rsidR="00F84823" w:rsidRPr="00DF5FA9">
        <w:t xml:space="preserve"> upkeep of the grounds</w:t>
      </w:r>
      <w:r w:rsidR="007F20ED" w:rsidRPr="00DF5FA9">
        <w:t>,</w:t>
      </w:r>
      <w:r w:rsidR="00F84823" w:rsidRPr="00DF5FA9">
        <w:t xml:space="preserve"> </w:t>
      </w:r>
      <w:r w:rsidR="007F20ED" w:rsidRPr="00DF5FA9">
        <w:t>y</w:t>
      </w:r>
      <w:r w:rsidR="00F84823" w:rsidRPr="00DF5FA9">
        <w:t xml:space="preserve">outh, educational and welfare work </w:t>
      </w:r>
      <w:r w:rsidR="008C17D8" w:rsidRPr="00DF5FA9">
        <w:t>and</w:t>
      </w:r>
      <w:r w:rsidR="00D81AD4" w:rsidRPr="00DF5FA9">
        <w:t xml:space="preserve"> </w:t>
      </w:r>
      <w:r w:rsidR="00F84823" w:rsidRPr="00DF5FA9">
        <w:t xml:space="preserve">repairs to School </w:t>
      </w:r>
      <w:r w:rsidR="007F20ED" w:rsidRPr="00DF5FA9">
        <w:t>H</w:t>
      </w:r>
      <w:r w:rsidR="00F84823" w:rsidRPr="00DF5FA9">
        <w:t>ouse amounted to £1</w:t>
      </w:r>
      <w:r w:rsidR="00DF5FA9" w:rsidRPr="00DF5FA9">
        <w:t>77,651</w:t>
      </w:r>
      <w:r w:rsidR="007F20ED" w:rsidRPr="00DF5FA9">
        <w:t>,</w:t>
      </w:r>
      <w:r w:rsidR="00F84823" w:rsidRPr="00DF5FA9">
        <w:t xml:space="preserve"> a monthly cost of £1</w:t>
      </w:r>
      <w:r w:rsidR="00DF5FA9" w:rsidRPr="00DF5FA9">
        <w:t>4</w:t>
      </w:r>
      <w:r w:rsidR="00DF5FA9">
        <w:t>,</w:t>
      </w:r>
      <w:r w:rsidR="00DF5FA9" w:rsidRPr="00DF5FA9">
        <w:t>804</w:t>
      </w:r>
      <w:r w:rsidR="007F20ED" w:rsidRPr="00DF5FA9">
        <w:t>. This is</w:t>
      </w:r>
      <w:r w:rsidR="00F84823" w:rsidRPr="00DF5FA9">
        <w:t xml:space="preserve"> an </w:t>
      </w:r>
      <w:r w:rsidR="00DF5FA9" w:rsidRPr="00DF5FA9">
        <w:t>9</w:t>
      </w:r>
      <w:r w:rsidR="00F84823" w:rsidRPr="00DF5FA9">
        <w:t>% increase on 201</w:t>
      </w:r>
      <w:r w:rsidR="00DF5FA9" w:rsidRPr="00DF5FA9">
        <w:t>6</w:t>
      </w:r>
      <w:r w:rsidR="00EC1593" w:rsidRPr="00DF5FA9">
        <w:t>.</w:t>
      </w:r>
    </w:p>
    <w:p w:rsidR="007F20ED" w:rsidRPr="00A56964" w:rsidRDefault="007F20ED" w:rsidP="007A24E9">
      <w:pPr>
        <w:jc w:val="both"/>
        <w:rPr>
          <w:highlight w:val="yellow"/>
        </w:rPr>
      </w:pPr>
    </w:p>
    <w:p w:rsidR="00EC1593" w:rsidRPr="00DF5FA9" w:rsidRDefault="00EC1593" w:rsidP="007A24E9">
      <w:pPr>
        <w:jc w:val="both"/>
      </w:pPr>
      <w:r w:rsidRPr="00DF5FA9">
        <w:t>Expenditure on St Peter</w:t>
      </w:r>
      <w:r w:rsidR="007F20ED" w:rsidRPr="00DF5FA9">
        <w:t>’</w:t>
      </w:r>
      <w:r w:rsidRPr="00DF5FA9">
        <w:t>s House, St Peter</w:t>
      </w:r>
      <w:r w:rsidR="007F20ED" w:rsidRPr="00DF5FA9">
        <w:t>’</w:t>
      </w:r>
      <w:r w:rsidRPr="00DF5FA9">
        <w:t xml:space="preserve">s Assembly Rooms and the </w:t>
      </w:r>
      <w:r w:rsidR="001B0121" w:rsidRPr="00DF5FA9">
        <w:t>m</w:t>
      </w:r>
      <w:r w:rsidRPr="00DF5FA9">
        <w:t>agazine amounted to an additional £</w:t>
      </w:r>
      <w:r w:rsidR="00DF5FA9" w:rsidRPr="00DF5FA9">
        <w:t>41,573</w:t>
      </w:r>
      <w:r w:rsidR="007F20ED" w:rsidRPr="00DF5FA9">
        <w:t>.</w:t>
      </w:r>
      <w:r w:rsidRPr="00DF5FA9">
        <w:t xml:space="preserve"> In </w:t>
      </w:r>
      <w:r w:rsidR="007F20ED" w:rsidRPr="00DF5FA9">
        <w:t>addition,</w:t>
      </w:r>
      <w:r w:rsidRPr="00DF5FA9">
        <w:t xml:space="preserve"> £</w:t>
      </w:r>
      <w:r w:rsidR="00DF5FA9" w:rsidRPr="00DF5FA9">
        <w:t>2,595</w:t>
      </w:r>
      <w:r w:rsidRPr="00DF5FA9">
        <w:t xml:space="preserve"> was spent on preparatory work </w:t>
      </w:r>
      <w:r w:rsidR="000904AB" w:rsidRPr="00DF5FA9">
        <w:t>for</w:t>
      </w:r>
      <w:r w:rsidRPr="00DF5FA9">
        <w:t xml:space="preserve"> the Car Park Project</w:t>
      </w:r>
      <w:r w:rsidR="007F20ED" w:rsidRPr="00DF5FA9">
        <w:t xml:space="preserve"> m</w:t>
      </w:r>
      <w:r w:rsidRPr="00DF5FA9">
        <w:t xml:space="preserve">aking a total </w:t>
      </w:r>
      <w:r w:rsidR="005559C8">
        <w:t>u</w:t>
      </w:r>
      <w:r w:rsidRPr="00DF5FA9">
        <w:t xml:space="preserve">nrestricted </w:t>
      </w:r>
      <w:r w:rsidR="007F20ED" w:rsidRPr="00DF5FA9">
        <w:t>e</w:t>
      </w:r>
      <w:r w:rsidRPr="00DF5FA9">
        <w:t>xpenditure of £22</w:t>
      </w:r>
      <w:r w:rsidR="00DF5FA9" w:rsidRPr="00DF5FA9">
        <w:t>1,819</w:t>
      </w:r>
      <w:r w:rsidRPr="00DF5FA9">
        <w:t>.</w:t>
      </w:r>
    </w:p>
    <w:p w:rsidR="00492571" w:rsidRPr="00A56964" w:rsidRDefault="00492571" w:rsidP="007A24E9">
      <w:pPr>
        <w:jc w:val="both"/>
        <w:rPr>
          <w:highlight w:val="yellow"/>
        </w:rPr>
      </w:pPr>
    </w:p>
    <w:p w:rsidR="00492571" w:rsidRPr="00B149E1" w:rsidRDefault="00EC1593" w:rsidP="007A24E9">
      <w:pPr>
        <w:jc w:val="both"/>
      </w:pPr>
      <w:r w:rsidRPr="00B149E1">
        <w:t>After allowing for the Grant to Mission in Action of £</w:t>
      </w:r>
      <w:r w:rsidR="00DF5FA9" w:rsidRPr="00B149E1">
        <w:t>14,695</w:t>
      </w:r>
      <w:r w:rsidRPr="00B149E1">
        <w:t xml:space="preserve"> </w:t>
      </w:r>
      <w:r w:rsidR="008C17D8" w:rsidRPr="00B149E1">
        <w:t>(</w:t>
      </w:r>
      <w:r w:rsidRPr="00B149E1">
        <w:t>10% of the planned giving and collections</w:t>
      </w:r>
      <w:r w:rsidR="008C17D8" w:rsidRPr="00B149E1">
        <w:t xml:space="preserve">) </w:t>
      </w:r>
      <w:r w:rsidR="007F20ED" w:rsidRPr="00B149E1">
        <w:t>t</w:t>
      </w:r>
      <w:r w:rsidR="008C17D8" w:rsidRPr="00B149E1">
        <w:t>he unrestricted income exceeded the un</w:t>
      </w:r>
      <w:r w:rsidR="00770A9F" w:rsidRPr="00B149E1">
        <w:t>restricted expenditure by £2</w:t>
      </w:r>
      <w:r w:rsidR="00B149E1" w:rsidRPr="00B149E1">
        <w:t>1,037</w:t>
      </w:r>
      <w:r w:rsidR="008C17D8" w:rsidRPr="00B149E1">
        <w:t>.</w:t>
      </w:r>
      <w:r w:rsidR="002B384D" w:rsidRPr="00B149E1">
        <w:t xml:space="preserve"> </w:t>
      </w:r>
    </w:p>
    <w:p w:rsidR="002B384D" w:rsidRDefault="002B384D" w:rsidP="002B384D">
      <w:pPr>
        <w:jc w:val="both"/>
      </w:pPr>
      <w:r>
        <w:t>The details of the proposed allocation for Mission in Action donations to other charities in 2017 are listed after the end of the accounts together with others</w:t>
      </w:r>
      <w:r w:rsidR="00485A4F">
        <w:t xml:space="preserve"> St</w:t>
      </w:r>
      <w:r>
        <w:t xml:space="preserve"> Peter’s accounts. These do not form part of the statutory S</w:t>
      </w:r>
      <w:r w:rsidR="00485A4F">
        <w:t>t</w:t>
      </w:r>
      <w:r>
        <w:t xml:space="preserve"> Peter’s Accounts for 201</w:t>
      </w:r>
      <w:r w:rsidR="00732364">
        <w:t>7.</w:t>
      </w:r>
    </w:p>
    <w:p w:rsidR="008B2393" w:rsidRDefault="008B2393" w:rsidP="007A24E9">
      <w:pPr>
        <w:jc w:val="both"/>
      </w:pPr>
    </w:p>
    <w:p w:rsidR="00F67993" w:rsidRDefault="00445AB5" w:rsidP="007A24E9">
      <w:pPr>
        <w:jc w:val="both"/>
      </w:pPr>
      <w:r>
        <w:t xml:space="preserve">The total </w:t>
      </w:r>
      <w:r w:rsidR="00AF60FE">
        <w:t>r</w:t>
      </w:r>
      <w:r>
        <w:t>estricted income amounted to £</w:t>
      </w:r>
      <w:r w:rsidR="00732364">
        <w:t>9,590</w:t>
      </w:r>
      <w:r w:rsidR="008B2393">
        <w:t>.</w:t>
      </w:r>
      <w:r>
        <w:t xml:space="preserve"> </w:t>
      </w:r>
      <w:r w:rsidR="008B2393">
        <w:t>T</w:t>
      </w:r>
      <w:r>
        <w:t>his includes all mission collections</w:t>
      </w:r>
      <w:r w:rsidR="00492571">
        <w:t>,</w:t>
      </w:r>
      <w:r>
        <w:t xml:space="preserve"> choir fund and flower guild</w:t>
      </w:r>
      <w:r w:rsidR="008B2393">
        <w:t xml:space="preserve"> income</w:t>
      </w:r>
      <w:r>
        <w:t>. Expenditure on charitable activities was £</w:t>
      </w:r>
      <w:r w:rsidR="00732364">
        <w:t>19,201</w:t>
      </w:r>
      <w:r w:rsidR="008B2393">
        <w:t xml:space="preserve"> and</w:t>
      </w:r>
      <w:r>
        <w:t xml:space="preserve"> the expenditure on the </w:t>
      </w:r>
      <w:r w:rsidR="008B2393">
        <w:t>c</w:t>
      </w:r>
      <w:r>
        <w:t xml:space="preserve">hoir and </w:t>
      </w:r>
      <w:r w:rsidR="008B2393">
        <w:t>f</w:t>
      </w:r>
      <w:r>
        <w:t xml:space="preserve">lower guild was </w:t>
      </w:r>
      <w:r w:rsidR="00F67993">
        <w:t>£</w:t>
      </w:r>
      <w:r w:rsidR="00732364">
        <w:t>3,635</w:t>
      </w:r>
      <w:r w:rsidR="00F67993">
        <w:t xml:space="preserve"> After allowing for £5</w:t>
      </w:r>
      <w:r w:rsidR="00492571">
        <w:t>,</w:t>
      </w:r>
      <w:r w:rsidR="00F67993">
        <w:t>603 depreciation on the improvements to St Peter’s House and £13,633 transferred to Mission in Action for 2017 there was a net loss of £</w:t>
      </w:r>
      <w:r w:rsidR="00FE5ACB">
        <w:t>4</w:t>
      </w:r>
      <w:r w:rsidR="00502B03">
        <w:t>,</w:t>
      </w:r>
      <w:r w:rsidR="00FE5ACB">
        <w:t>154</w:t>
      </w:r>
      <w:r w:rsidR="00F67993">
        <w:t xml:space="preserve"> in Restricted funds, mainly due to the depreciation charge. St Peter’s House is insured for a value of </w:t>
      </w:r>
      <w:r w:rsidR="00F67993" w:rsidRPr="00905DD5">
        <w:t>£1,</w:t>
      </w:r>
      <w:r w:rsidR="00905DD5" w:rsidRPr="00905DD5">
        <w:t>299,663</w:t>
      </w:r>
      <w:r w:rsidR="005559C8">
        <w:t>.</w:t>
      </w:r>
    </w:p>
    <w:p w:rsidR="00CF5E43" w:rsidRDefault="00CF5E43" w:rsidP="007A24E9">
      <w:pPr>
        <w:jc w:val="both"/>
      </w:pPr>
    </w:p>
    <w:p w:rsidR="00CF5E43" w:rsidRPr="00CF5E43" w:rsidRDefault="00CF5E43" w:rsidP="007A24E9">
      <w:pPr>
        <w:jc w:val="both"/>
        <w:rPr>
          <w:b/>
          <w:u w:val="single"/>
        </w:rPr>
      </w:pPr>
      <w:r w:rsidRPr="00CF5E43">
        <w:rPr>
          <w:b/>
          <w:u w:val="single"/>
        </w:rPr>
        <w:t>Reserves Policy</w:t>
      </w:r>
    </w:p>
    <w:p w:rsidR="009A04F1" w:rsidRDefault="00CF5E43" w:rsidP="007A24E9">
      <w:pPr>
        <w:jc w:val="both"/>
      </w:pPr>
      <w:r>
        <w:t xml:space="preserve">The unrestricted </w:t>
      </w:r>
      <w:r w:rsidR="00492571">
        <w:t xml:space="preserve">funds at the </w:t>
      </w:r>
      <w:r w:rsidR="00AF60FE">
        <w:t>year-end</w:t>
      </w:r>
      <w:r w:rsidR="001B0121">
        <w:t xml:space="preserve"> </w:t>
      </w:r>
      <w:r w:rsidR="00492571">
        <w:t>w</w:t>
      </w:r>
      <w:r w:rsidR="008B2393">
        <w:t>ere</w:t>
      </w:r>
      <w:r w:rsidR="00492571">
        <w:t xml:space="preserve"> </w:t>
      </w:r>
      <w:r w:rsidR="00082CA8">
        <w:t>£1</w:t>
      </w:r>
      <w:r w:rsidR="00265D8C">
        <w:t>9</w:t>
      </w:r>
      <w:r w:rsidR="005559C8">
        <w:t>6,</w:t>
      </w:r>
      <w:r w:rsidR="00265D8C">
        <w:t>401</w:t>
      </w:r>
      <w:r w:rsidR="00AF60FE">
        <w:t>which the PCC considers are</w:t>
      </w:r>
      <w:r>
        <w:t xml:space="preserve"> adequate to cover the </w:t>
      </w:r>
      <w:r w:rsidR="000904AB">
        <w:t xml:space="preserve">future </w:t>
      </w:r>
      <w:r w:rsidR="008B2393">
        <w:t>costs of the C</w:t>
      </w:r>
      <w:r>
        <w:t xml:space="preserve">ar </w:t>
      </w:r>
      <w:r w:rsidR="008B2393">
        <w:t>P</w:t>
      </w:r>
      <w:r>
        <w:t xml:space="preserve">ark facility and </w:t>
      </w:r>
      <w:r w:rsidR="00D81AD4">
        <w:t>any emerg</w:t>
      </w:r>
      <w:r w:rsidR="00A05673">
        <w:t>ency expenditure</w:t>
      </w:r>
      <w:r w:rsidR="00D81AD4">
        <w:t>.</w:t>
      </w:r>
      <w:r w:rsidR="00AB45CA">
        <w:tab/>
      </w:r>
    </w:p>
    <w:p w:rsidR="00B45FE1" w:rsidRDefault="00B45FE1" w:rsidP="007A24E9">
      <w:pPr>
        <w:jc w:val="both"/>
      </w:pPr>
    </w:p>
    <w:p w:rsidR="00B45FE1" w:rsidRDefault="00B45FE1" w:rsidP="007A24E9">
      <w:pPr>
        <w:jc w:val="both"/>
        <w:rPr>
          <w:b/>
          <w:u w:val="single"/>
        </w:rPr>
      </w:pPr>
      <w:r w:rsidRPr="00B45FE1">
        <w:rPr>
          <w:b/>
          <w:u w:val="single"/>
        </w:rPr>
        <w:t>Risk Management</w:t>
      </w:r>
    </w:p>
    <w:p w:rsidR="00B45FE1" w:rsidRDefault="00B45FE1" w:rsidP="007A24E9">
      <w:pPr>
        <w:jc w:val="both"/>
      </w:pPr>
      <w:r>
        <w:t xml:space="preserve">The </w:t>
      </w:r>
      <w:r w:rsidR="00AF60FE">
        <w:t xml:space="preserve">principal </w:t>
      </w:r>
      <w:r>
        <w:t xml:space="preserve">risk for the </w:t>
      </w:r>
      <w:r w:rsidR="005559C8">
        <w:t>C</w:t>
      </w:r>
      <w:r>
        <w:t>hurch is that the number of member</w:t>
      </w:r>
      <w:r w:rsidR="00AF60FE">
        <w:t>s</w:t>
      </w:r>
      <w:r w:rsidR="00265D8C">
        <w:t xml:space="preserve"> and funds raised through the stewardship scheme</w:t>
      </w:r>
      <w:r>
        <w:t xml:space="preserve"> declines to a point when </w:t>
      </w:r>
      <w:r w:rsidR="00AF60FE">
        <w:t xml:space="preserve">the church </w:t>
      </w:r>
      <w:r>
        <w:t>cannot raise sufficient funds to support its activities.</w:t>
      </w:r>
      <w:r w:rsidR="00AF60FE">
        <w:t xml:space="preserve"> </w:t>
      </w:r>
      <w:proofErr w:type="gramStart"/>
      <w:r w:rsidR="00265D8C">
        <w:t>As a result of</w:t>
      </w:r>
      <w:proofErr w:type="gramEnd"/>
      <w:r w:rsidR="00265D8C">
        <w:t xml:space="preserve"> the </w:t>
      </w:r>
      <w:r w:rsidR="005559C8">
        <w:t>s</w:t>
      </w:r>
      <w:r w:rsidR="00265D8C">
        <w:t>tewardship campaign in 2017 there has been an 8% increase in funds raised by regular giving.</w:t>
      </w:r>
    </w:p>
    <w:p w:rsidR="00B45FE1" w:rsidRDefault="00B45FE1" w:rsidP="007A24E9">
      <w:pPr>
        <w:jc w:val="both"/>
        <w:rPr>
          <w:b/>
          <w:u w:val="single"/>
        </w:rPr>
      </w:pPr>
    </w:p>
    <w:p w:rsidR="00841ADD" w:rsidRDefault="00841ADD" w:rsidP="007A24E9">
      <w:pPr>
        <w:jc w:val="both"/>
        <w:rPr>
          <w:b/>
          <w:u w:val="single"/>
        </w:rPr>
      </w:pPr>
    </w:p>
    <w:p w:rsidR="00B45FE1" w:rsidRPr="00B45FE1" w:rsidRDefault="00B45FE1" w:rsidP="007A24E9">
      <w:pPr>
        <w:jc w:val="both"/>
        <w:rPr>
          <w:b/>
          <w:u w:val="single"/>
        </w:rPr>
      </w:pPr>
      <w:r w:rsidRPr="00B45FE1">
        <w:rPr>
          <w:b/>
          <w:u w:val="single"/>
        </w:rPr>
        <w:t>Future Projects</w:t>
      </w:r>
    </w:p>
    <w:p w:rsidR="00D81DD5" w:rsidRDefault="00265D8C" w:rsidP="007A24E9">
      <w:pPr>
        <w:jc w:val="both"/>
      </w:pPr>
      <w:r>
        <w:t>At the end of 2017 the proposed n</w:t>
      </w:r>
      <w:r w:rsidR="00AF60FE">
        <w:t>ew C</w:t>
      </w:r>
      <w:r w:rsidR="00B45FE1">
        <w:t>ar</w:t>
      </w:r>
      <w:r w:rsidR="00B851E2">
        <w:t xml:space="preserve"> </w:t>
      </w:r>
      <w:r w:rsidR="00AF60FE">
        <w:t>P</w:t>
      </w:r>
      <w:r w:rsidR="00B45FE1">
        <w:t>ark</w:t>
      </w:r>
      <w:r>
        <w:t>, subject to planning consent</w:t>
      </w:r>
      <w:r w:rsidR="00017857">
        <w:t>,</w:t>
      </w:r>
      <w:r>
        <w:t xml:space="preserve"> </w:t>
      </w:r>
      <w:r w:rsidR="00B45FE1">
        <w:t>for which the preparatory work sta</w:t>
      </w:r>
      <w:r w:rsidR="00B851E2">
        <w:t>r</w:t>
      </w:r>
      <w:r w:rsidR="00AF60FE">
        <w:t>ted in 2016</w:t>
      </w:r>
      <w:r>
        <w:t xml:space="preserve"> and continued in 2017 </w:t>
      </w:r>
      <w:r w:rsidR="00017857">
        <w:t xml:space="preserve">is expected to be completed in 2018. The Vicarage </w:t>
      </w:r>
      <w:proofErr w:type="gramStart"/>
      <w:r w:rsidR="00017857">
        <w:t>cellar</w:t>
      </w:r>
      <w:proofErr w:type="gramEnd"/>
      <w:r w:rsidR="00017857">
        <w:t xml:space="preserve"> </w:t>
      </w:r>
    </w:p>
    <w:p w:rsidR="006C2C25" w:rsidRDefault="00017857" w:rsidP="00841ADD">
      <w:pPr>
        <w:jc w:val="both"/>
      </w:pPr>
      <w:r>
        <w:t>refurbishment may well become an active project for youth activities now that we have a youth worker</w:t>
      </w:r>
      <w:r w:rsidR="008A1339">
        <w:t>.</w:t>
      </w:r>
    </w:p>
    <w:p w:rsidR="008A1339" w:rsidRDefault="008A1339" w:rsidP="00841ADD">
      <w:pPr>
        <w:jc w:val="both"/>
      </w:pPr>
    </w:p>
    <w:p w:rsidR="008A1339" w:rsidRDefault="00895C96" w:rsidP="00841ADD">
      <w:pPr>
        <w:jc w:val="both"/>
      </w:pPr>
      <w:r>
        <w:t>On behalf of the PCC</w:t>
      </w:r>
      <w:bookmarkStart w:id="0" w:name="_GoBack"/>
      <w:bookmarkEnd w:id="0"/>
    </w:p>
    <w:p w:rsidR="008A1339" w:rsidRDefault="008A1339" w:rsidP="008A1339"/>
    <w:p w:rsidR="00895C96" w:rsidRDefault="00895C96" w:rsidP="008A1339"/>
    <w:p w:rsidR="008A1339" w:rsidRDefault="008A1339" w:rsidP="008A1339"/>
    <w:p w:rsidR="00895C96" w:rsidRDefault="008A1339" w:rsidP="00895C96">
      <w:r>
        <w:t>Revd Keith Addenbrooke</w:t>
      </w:r>
      <w:r w:rsidR="00895C96">
        <w:tab/>
      </w:r>
      <w:r w:rsidR="00895C96">
        <w:tab/>
      </w:r>
      <w:r w:rsidR="00895C96">
        <w:tab/>
      </w:r>
      <w:r w:rsidR="00895C96">
        <w:tab/>
      </w:r>
      <w:r w:rsidR="00895C96">
        <w:t>19</w:t>
      </w:r>
      <w:r w:rsidR="00895C96" w:rsidRPr="008A1339">
        <w:rPr>
          <w:vertAlign w:val="superscript"/>
        </w:rPr>
        <w:t>th</w:t>
      </w:r>
      <w:r w:rsidR="00895C96">
        <w:t xml:space="preserve"> March 2018</w:t>
      </w:r>
    </w:p>
    <w:p w:rsidR="00895C96" w:rsidRDefault="00895C96" w:rsidP="00895C96">
      <w:r>
        <w:t>PCC Chairman</w:t>
      </w:r>
    </w:p>
    <w:p w:rsidR="008A1339" w:rsidRPr="00C54935" w:rsidRDefault="008A1339" w:rsidP="008A1339">
      <w:pPr>
        <w:sectPr w:rsidR="008A1339" w:rsidRPr="00C54935" w:rsidSect="00890FF9">
          <w:pgSz w:w="11906" w:h="16838"/>
          <w:pgMar w:top="1276" w:right="992" w:bottom="1440" w:left="1134" w:header="709" w:footer="709" w:gutter="0"/>
          <w:pgNumType w:start="2"/>
          <w:cols w:space="708"/>
          <w:docGrid w:linePitch="360"/>
        </w:sectPr>
      </w:pPr>
    </w:p>
    <w:p w:rsidR="00117402" w:rsidRDefault="00C94485" w:rsidP="00C94485">
      <w:pPr>
        <w:jc w:val="center"/>
        <w:rPr>
          <w:rFonts w:eastAsia="Calibri"/>
          <w:b/>
          <w:sz w:val="28"/>
          <w:szCs w:val="28"/>
          <w:lang w:eastAsia="en-US"/>
        </w:rPr>
      </w:pPr>
      <w:r>
        <w:rPr>
          <w:rFonts w:eastAsia="Calibri"/>
          <w:b/>
          <w:sz w:val="28"/>
          <w:szCs w:val="28"/>
          <w:lang w:eastAsia="en-US"/>
        </w:rPr>
        <w:lastRenderedPageBreak/>
        <w:t>Statement of Financial Activities</w:t>
      </w:r>
    </w:p>
    <w:p w:rsidR="00C94485" w:rsidRDefault="00C94485" w:rsidP="00EF5DCD">
      <w:pPr>
        <w:rPr>
          <w:rFonts w:eastAsia="Calibri"/>
          <w:b/>
          <w:sz w:val="28"/>
          <w:szCs w:val="28"/>
          <w:lang w:eastAsia="en-US"/>
        </w:rPr>
      </w:pPr>
    </w:p>
    <w:p w:rsidR="00B17105" w:rsidRDefault="00880C33" w:rsidP="00EF5DCD">
      <w:pPr>
        <w:rPr>
          <w:rFonts w:eastAsia="Calibri"/>
          <w:b/>
          <w:sz w:val="28"/>
          <w:szCs w:val="28"/>
          <w:lang w:eastAsia="en-US"/>
        </w:rPr>
      </w:pPr>
      <w:r w:rsidRPr="00880C33">
        <w:rPr>
          <w:rFonts w:eastAsia="Calibri"/>
          <w:noProof/>
        </w:rPr>
        <w:drawing>
          <wp:inline distT="0" distB="0" distL="0" distR="0">
            <wp:extent cx="6156960" cy="5859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6960" cy="5859780"/>
                    </a:xfrm>
                    <a:prstGeom prst="rect">
                      <a:avLst/>
                    </a:prstGeom>
                    <a:noFill/>
                    <a:ln>
                      <a:noFill/>
                    </a:ln>
                  </pic:spPr>
                </pic:pic>
              </a:graphicData>
            </a:graphic>
          </wp:inline>
        </w:drawing>
      </w:r>
    </w:p>
    <w:p w:rsidR="00B17105" w:rsidRDefault="00B17105">
      <w:pPr>
        <w:spacing w:after="200" w:line="276" w:lineRule="auto"/>
        <w:rPr>
          <w:rFonts w:eastAsia="Calibri"/>
          <w:b/>
          <w:sz w:val="28"/>
          <w:szCs w:val="28"/>
          <w:lang w:eastAsia="en-US"/>
        </w:rPr>
      </w:pPr>
      <w:r>
        <w:rPr>
          <w:rFonts w:eastAsia="Calibri"/>
          <w:b/>
          <w:sz w:val="28"/>
          <w:szCs w:val="28"/>
          <w:lang w:eastAsia="en-US"/>
        </w:rPr>
        <w:br w:type="page"/>
      </w:r>
    </w:p>
    <w:p w:rsidR="00F635D4" w:rsidRDefault="00F635D4" w:rsidP="00F635D4">
      <w:pPr>
        <w:jc w:val="center"/>
        <w:rPr>
          <w:rFonts w:eastAsia="Calibri"/>
          <w:b/>
          <w:sz w:val="28"/>
          <w:szCs w:val="28"/>
          <w:lang w:eastAsia="en-US"/>
        </w:rPr>
      </w:pPr>
      <w:r>
        <w:rPr>
          <w:rFonts w:eastAsia="Calibri"/>
          <w:b/>
          <w:sz w:val="28"/>
          <w:szCs w:val="28"/>
          <w:lang w:eastAsia="en-US"/>
        </w:rPr>
        <w:lastRenderedPageBreak/>
        <w:t>Balance Sheet</w:t>
      </w:r>
    </w:p>
    <w:p w:rsidR="00372B4B" w:rsidRDefault="00372B4B" w:rsidP="00F635D4">
      <w:pPr>
        <w:jc w:val="center"/>
        <w:rPr>
          <w:rFonts w:eastAsia="Calibri"/>
        </w:rPr>
      </w:pPr>
    </w:p>
    <w:p w:rsidR="00372B4B" w:rsidRDefault="00372B4B" w:rsidP="00F635D4">
      <w:pPr>
        <w:jc w:val="center"/>
        <w:rPr>
          <w:rFonts w:eastAsia="Calibri"/>
        </w:rPr>
      </w:pPr>
    </w:p>
    <w:p w:rsidR="00372B4B" w:rsidRDefault="00EE4E5E" w:rsidP="00372B4B">
      <w:pPr>
        <w:rPr>
          <w:rFonts w:eastAsia="Calibri"/>
        </w:rPr>
      </w:pPr>
      <w:r w:rsidRPr="00EE4E5E">
        <w:rPr>
          <w:rFonts w:eastAsia="Calibri"/>
          <w:noProof/>
        </w:rPr>
        <w:drawing>
          <wp:inline distT="0" distB="0" distL="0" distR="0">
            <wp:extent cx="5852160" cy="4777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4777740"/>
                    </a:xfrm>
                    <a:prstGeom prst="rect">
                      <a:avLst/>
                    </a:prstGeom>
                    <a:noFill/>
                    <a:ln>
                      <a:noFill/>
                    </a:ln>
                  </pic:spPr>
                </pic:pic>
              </a:graphicData>
            </a:graphic>
          </wp:inline>
        </w:drawing>
      </w:r>
    </w:p>
    <w:p w:rsidR="00F635D4" w:rsidRDefault="00F635D4" w:rsidP="00F635D4">
      <w:pPr>
        <w:rPr>
          <w:rFonts w:eastAsia="Calibri"/>
          <w:b/>
          <w:sz w:val="28"/>
          <w:szCs w:val="28"/>
          <w:lang w:eastAsia="en-US"/>
        </w:rPr>
      </w:pPr>
    </w:p>
    <w:p w:rsidR="00D55368" w:rsidRDefault="00D55368">
      <w:pPr>
        <w:spacing w:after="200" w:line="276" w:lineRule="auto"/>
        <w:rPr>
          <w:rFonts w:eastAsia="Calibri"/>
          <w:b/>
          <w:sz w:val="28"/>
          <w:szCs w:val="28"/>
          <w:lang w:eastAsia="en-US"/>
        </w:rPr>
      </w:pPr>
    </w:p>
    <w:p w:rsidR="00D55368" w:rsidRDefault="00D55368">
      <w:pPr>
        <w:spacing w:after="200" w:line="276" w:lineRule="auto"/>
        <w:rPr>
          <w:rFonts w:eastAsia="Calibri"/>
          <w:lang w:eastAsia="en-US"/>
        </w:rPr>
      </w:pPr>
      <w:r w:rsidRPr="00D55368">
        <w:rPr>
          <w:rFonts w:eastAsia="Calibri"/>
          <w:lang w:eastAsia="en-US"/>
        </w:rPr>
        <w:t>Signed on behalf of all the Trustees</w:t>
      </w:r>
    </w:p>
    <w:p w:rsidR="00D55368" w:rsidRDefault="00D55368">
      <w:pPr>
        <w:spacing w:after="200" w:line="276" w:lineRule="auto"/>
        <w:rPr>
          <w:rFonts w:eastAsia="Calibri"/>
          <w:b/>
          <w:lang w:eastAsia="en-US"/>
        </w:rPr>
      </w:pPr>
    </w:p>
    <w:p w:rsidR="00D55368" w:rsidRDefault="00D55368">
      <w:pPr>
        <w:spacing w:after="200" w:line="276" w:lineRule="auto"/>
        <w:rPr>
          <w:rFonts w:eastAsia="Calibri"/>
          <w:b/>
          <w:lang w:eastAsia="en-US"/>
        </w:rPr>
      </w:pPr>
    </w:p>
    <w:p w:rsidR="00C71463" w:rsidRPr="00D55368" w:rsidRDefault="00D55368">
      <w:pPr>
        <w:spacing w:after="200" w:line="276" w:lineRule="auto"/>
        <w:rPr>
          <w:rFonts w:eastAsia="Calibri"/>
          <w:lang w:eastAsia="en-US"/>
        </w:rPr>
      </w:pPr>
      <w:r w:rsidRPr="00D55368">
        <w:rPr>
          <w:rFonts w:eastAsia="Calibri"/>
          <w:lang w:eastAsia="en-US"/>
        </w:rPr>
        <w:t>Date of Approval</w:t>
      </w:r>
      <w:r>
        <w:rPr>
          <w:rFonts w:eastAsia="Calibri"/>
          <w:lang w:eastAsia="en-US"/>
        </w:rPr>
        <w:t xml:space="preserve"> 19</w:t>
      </w:r>
      <w:r w:rsidRPr="00D55368">
        <w:rPr>
          <w:rFonts w:eastAsia="Calibri"/>
          <w:vertAlign w:val="superscript"/>
          <w:lang w:eastAsia="en-US"/>
        </w:rPr>
        <w:t>th</w:t>
      </w:r>
      <w:r>
        <w:rPr>
          <w:rFonts w:eastAsia="Calibri"/>
          <w:lang w:eastAsia="en-US"/>
        </w:rPr>
        <w:t xml:space="preserve"> March 2018</w:t>
      </w:r>
      <w:r w:rsidR="00F635D4" w:rsidRPr="00D55368">
        <w:rPr>
          <w:rFonts w:eastAsia="Calibri"/>
          <w:lang w:eastAsia="en-US"/>
        </w:rPr>
        <w:br w:type="page"/>
      </w:r>
    </w:p>
    <w:tbl>
      <w:tblPr>
        <w:tblW w:w="10014" w:type="dxa"/>
        <w:tblInd w:w="108" w:type="dxa"/>
        <w:tblLayout w:type="fixed"/>
        <w:tblLook w:val="04A0" w:firstRow="1" w:lastRow="0" w:firstColumn="1" w:lastColumn="0" w:noHBand="0" w:noVBand="1"/>
      </w:tblPr>
      <w:tblGrid>
        <w:gridCol w:w="9570"/>
        <w:gridCol w:w="222"/>
        <w:gridCol w:w="222"/>
      </w:tblGrid>
      <w:tr w:rsidR="00C71463" w:rsidRPr="00B75218" w:rsidTr="000E3053">
        <w:trPr>
          <w:trHeight w:val="576"/>
        </w:trPr>
        <w:tc>
          <w:tcPr>
            <w:tcW w:w="10014" w:type="dxa"/>
            <w:gridSpan w:val="3"/>
            <w:tcBorders>
              <w:top w:val="nil"/>
              <w:left w:val="nil"/>
              <w:bottom w:val="nil"/>
              <w:right w:val="nil"/>
            </w:tcBorders>
            <w:shd w:val="clear" w:color="auto" w:fill="auto"/>
            <w:noWrap/>
            <w:vAlign w:val="center"/>
            <w:hideMark/>
          </w:tcPr>
          <w:p w:rsidR="00C71463" w:rsidRPr="00B573AA" w:rsidRDefault="00C71463" w:rsidP="004E3E5A">
            <w:pPr>
              <w:rPr>
                <w:color w:val="000000"/>
              </w:rPr>
            </w:pPr>
            <w:r w:rsidRPr="00B573AA">
              <w:rPr>
                <w:color w:val="000000"/>
              </w:rPr>
              <w:lastRenderedPageBreak/>
              <w:t>Notes to the Accounts</w:t>
            </w:r>
          </w:p>
        </w:tc>
      </w:tr>
      <w:tr w:rsidR="00C7146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C71463" w:rsidRPr="004E3E5A" w:rsidRDefault="00C71463" w:rsidP="004E3E5A">
            <w:pPr>
              <w:pStyle w:val="ListParagraph"/>
              <w:numPr>
                <w:ilvl w:val="0"/>
                <w:numId w:val="8"/>
              </w:numPr>
              <w:ind w:left="34" w:firstLine="26"/>
              <w:rPr>
                <w:b/>
                <w:bCs/>
                <w:color w:val="000000"/>
              </w:rPr>
            </w:pPr>
            <w:r w:rsidRPr="004E3E5A">
              <w:rPr>
                <w:b/>
                <w:bCs/>
                <w:color w:val="000000"/>
              </w:rPr>
              <w:t>Basis of preparation and going concern</w:t>
            </w:r>
          </w:p>
          <w:p w:rsidR="004E3E5A" w:rsidRPr="004E3E5A" w:rsidRDefault="004E3E5A" w:rsidP="004E3E5A">
            <w:pPr>
              <w:pStyle w:val="ListParagraph"/>
              <w:ind w:left="540"/>
              <w:rPr>
                <w:color w:val="000000"/>
              </w:rPr>
            </w:pPr>
          </w:p>
        </w:tc>
      </w:tr>
      <w:tr w:rsidR="00C7146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C71463" w:rsidRPr="00B573AA" w:rsidRDefault="00C71463" w:rsidP="00194068">
            <w:pPr>
              <w:ind w:right="1584"/>
              <w:rPr>
                <w:b/>
                <w:bCs/>
                <w:color w:val="000000"/>
              </w:rPr>
            </w:pPr>
            <w:r w:rsidRPr="00B573AA">
              <w:rPr>
                <w:b/>
                <w:bCs/>
                <w:color w:val="000000"/>
              </w:rPr>
              <w:t>1.1 Basis of accounting</w:t>
            </w:r>
          </w:p>
        </w:tc>
      </w:tr>
      <w:tr w:rsidR="00C71463" w:rsidRPr="00B75218" w:rsidTr="000E3053">
        <w:trPr>
          <w:gridAfter w:val="1"/>
          <w:wAfter w:w="222" w:type="dxa"/>
          <w:trHeight w:val="1416"/>
        </w:trPr>
        <w:tc>
          <w:tcPr>
            <w:tcW w:w="9792" w:type="dxa"/>
            <w:gridSpan w:val="2"/>
            <w:tcBorders>
              <w:top w:val="nil"/>
              <w:left w:val="nil"/>
              <w:bottom w:val="nil"/>
              <w:right w:val="nil"/>
            </w:tcBorders>
            <w:shd w:val="clear" w:color="auto" w:fill="auto"/>
            <w:hideMark/>
          </w:tcPr>
          <w:p w:rsidR="00194068" w:rsidRPr="00B573AA" w:rsidRDefault="00194068" w:rsidP="000E3053">
            <w:pPr>
              <w:ind w:right="1584"/>
              <w:jc w:val="both"/>
            </w:pPr>
          </w:p>
          <w:p w:rsidR="00C71463" w:rsidRPr="00B573AA" w:rsidRDefault="00C71463" w:rsidP="000E3053">
            <w:pPr>
              <w:ind w:right="213"/>
              <w:jc w:val="both"/>
            </w:pPr>
            <w:r w:rsidRPr="00B573AA">
              <w:t>These accounts have been prepared under the historical cost convention with items</w:t>
            </w:r>
            <w:r w:rsidR="00726B43">
              <w:t xml:space="preserve"> </w:t>
            </w:r>
            <w:r w:rsidRPr="00B573AA">
              <w:t>recognised at cost or transaction value unless otherwise stated in the relevant note(s) to these accounts. The accounts have been prepared in accordance with the Statement of Recommended Practice: Accounting and Reporting by Charities preparing their accounts in accordance with the Financial Reporting Standard applicable in the UK and Republic of Ireland (FRS 102) and with the Charities Act 2011.</w:t>
            </w:r>
          </w:p>
        </w:tc>
      </w:tr>
      <w:tr w:rsidR="00C71463" w:rsidRPr="00B75218" w:rsidTr="000E3053">
        <w:trPr>
          <w:gridAfter w:val="2"/>
          <w:wAfter w:w="444" w:type="dxa"/>
          <w:trHeight w:val="300"/>
        </w:trPr>
        <w:tc>
          <w:tcPr>
            <w:tcW w:w="9570" w:type="dxa"/>
            <w:tcBorders>
              <w:top w:val="nil"/>
              <w:left w:val="nil"/>
              <w:bottom w:val="nil"/>
              <w:right w:val="nil"/>
            </w:tcBorders>
            <w:shd w:val="clear" w:color="auto" w:fill="auto"/>
            <w:hideMark/>
          </w:tcPr>
          <w:p w:rsidR="00C71463" w:rsidRPr="00B573AA" w:rsidRDefault="00194068" w:rsidP="000E3053">
            <w:pPr>
              <w:ind w:right="1584"/>
              <w:jc w:val="both"/>
            </w:pPr>
            <w:r w:rsidRPr="00B573AA">
              <w:t>T</w:t>
            </w:r>
            <w:r w:rsidR="00C71463" w:rsidRPr="00B573AA">
              <w:t>he charity constitutes a public benefit entity as defined by FRS 102.</w:t>
            </w:r>
          </w:p>
        </w:tc>
      </w:tr>
      <w:tr w:rsidR="00C71463" w:rsidRPr="00B75218" w:rsidTr="000E3053">
        <w:trPr>
          <w:gridAfter w:val="2"/>
          <w:wAfter w:w="444" w:type="dxa"/>
          <w:trHeight w:val="336"/>
        </w:trPr>
        <w:tc>
          <w:tcPr>
            <w:tcW w:w="9570" w:type="dxa"/>
            <w:tcBorders>
              <w:top w:val="nil"/>
              <w:left w:val="nil"/>
              <w:bottom w:val="nil"/>
              <w:right w:val="nil"/>
            </w:tcBorders>
            <w:shd w:val="clear" w:color="auto" w:fill="auto"/>
            <w:noWrap/>
            <w:vAlign w:val="bottom"/>
            <w:hideMark/>
          </w:tcPr>
          <w:p w:rsidR="00194068" w:rsidRDefault="00C71463" w:rsidP="000E3053">
            <w:pPr>
              <w:jc w:val="both"/>
            </w:pPr>
            <w:r w:rsidRPr="00B573AA">
              <w:rPr>
                <w:color w:val="000000"/>
              </w:rPr>
              <w:t xml:space="preserve">The charity operates as a going concern because it has </w:t>
            </w:r>
            <w:r w:rsidR="00194068" w:rsidRPr="00B573AA">
              <w:rPr>
                <w:color w:val="000000"/>
              </w:rPr>
              <w:t>sufficient</w:t>
            </w:r>
            <w:r w:rsidRPr="00B573AA">
              <w:rPr>
                <w:color w:val="000000"/>
              </w:rPr>
              <w:t xml:space="preserve"> funds and reserves to pay all its </w:t>
            </w:r>
            <w:r w:rsidRPr="00B573AA">
              <w:t>liabilities</w:t>
            </w:r>
            <w:r w:rsidR="00194068" w:rsidRPr="00B573AA">
              <w:t xml:space="preserve"> as they fall due.</w:t>
            </w:r>
          </w:p>
          <w:p w:rsidR="000E3053" w:rsidRPr="00B573AA" w:rsidRDefault="000E3053" w:rsidP="000E3053">
            <w:pPr>
              <w:ind w:right="1584"/>
              <w:jc w:val="both"/>
              <w:rPr>
                <w:color w:val="000000"/>
              </w:rPr>
            </w:pPr>
          </w:p>
        </w:tc>
      </w:tr>
      <w:tr w:rsidR="000E3053" w:rsidRPr="00B75218" w:rsidTr="000E3053">
        <w:trPr>
          <w:gridAfter w:val="2"/>
          <w:wAfter w:w="444" w:type="dxa"/>
          <w:trHeight w:val="68"/>
        </w:trPr>
        <w:tc>
          <w:tcPr>
            <w:tcW w:w="9570" w:type="dxa"/>
            <w:tcBorders>
              <w:top w:val="nil"/>
              <w:left w:val="nil"/>
              <w:bottom w:val="nil"/>
              <w:right w:val="nil"/>
            </w:tcBorders>
            <w:shd w:val="clear" w:color="auto" w:fill="auto"/>
            <w:noWrap/>
            <w:vAlign w:val="bottom"/>
          </w:tcPr>
          <w:p w:rsidR="000E3053" w:rsidRPr="004E3E5A" w:rsidRDefault="000E3053" w:rsidP="000E3053">
            <w:pPr>
              <w:pStyle w:val="ListParagraph"/>
              <w:numPr>
                <w:ilvl w:val="0"/>
                <w:numId w:val="8"/>
              </w:numPr>
              <w:ind w:right="1584" w:hanging="506"/>
              <w:jc w:val="both"/>
              <w:rPr>
                <w:b/>
                <w:bCs/>
                <w:color w:val="000000"/>
              </w:rPr>
            </w:pPr>
            <w:r w:rsidRPr="004E3E5A">
              <w:rPr>
                <w:b/>
                <w:bCs/>
                <w:color w:val="000000"/>
              </w:rPr>
              <w:t>Accounting policies</w:t>
            </w:r>
          </w:p>
          <w:p w:rsidR="000E3053" w:rsidRPr="00B573AA" w:rsidRDefault="000E3053" w:rsidP="000E3053">
            <w:pPr>
              <w:ind w:right="1584"/>
              <w:jc w:val="both"/>
              <w:rPr>
                <w:color w:val="000000"/>
              </w:rPr>
            </w:pPr>
          </w:p>
        </w:tc>
      </w:tr>
      <w:tr w:rsidR="000E3053" w:rsidRPr="00B75218" w:rsidTr="000E3053">
        <w:trPr>
          <w:gridAfter w:val="1"/>
          <w:wAfter w:w="222" w:type="dxa"/>
          <w:trHeight w:val="68"/>
        </w:trPr>
        <w:tc>
          <w:tcPr>
            <w:tcW w:w="9792" w:type="dxa"/>
            <w:gridSpan w:val="2"/>
            <w:tcBorders>
              <w:top w:val="nil"/>
              <w:left w:val="nil"/>
              <w:bottom w:val="nil"/>
              <w:right w:val="nil"/>
            </w:tcBorders>
            <w:shd w:val="clear" w:color="auto" w:fill="auto"/>
            <w:vAlign w:val="bottom"/>
          </w:tcPr>
          <w:p w:rsidR="000E3053" w:rsidRDefault="000E3053" w:rsidP="000E3053">
            <w:pPr>
              <w:ind w:right="1584"/>
              <w:jc w:val="both"/>
              <w:rPr>
                <w:b/>
                <w:bCs/>
                <w:color w:val="000000"/>
              </w:rPr>
            </w:pPr>
            <w:r w:rsidRPr="00B573AA">
              <w:rPr>
                <w:b/>
                <w:bCs/>
                <w:color w:val="000000"/>
              </w:rPr>
              <w:t>2.1 Income</w:t>
            </w:r>
          </w:p>
          <w:p w:rsidR="000E3053" w:rsidRPr="00B573AA" w:rsidRDefault="000E3053" w:rsidP="000E3053">
            <w:pPr>
              <w:ind w:right="1584"/>
              <w:jc w:val="both"/>
            </w:pPr>
          </w:p>
        </w:tc>
      </w:tr>
      <w:tr w:rsidR="000E3053" w:rsidRPr="00B75218" w:rsidTr="000E3053">
        <w:trPr>
          <w:gridAfter w:val="1"/>
          <w:wAfter w:w="222" w:type="dxa"/>
          <w:trHeight w:val="288"/>
        </w:trPr>
        <w:tc>
          <w:tcPr>
            <w:tcW w:w="9792" w:type="dxa"/>
            <w:gridSpan w:val="2"/>
            <w:tcBorders>
              <w:top w:val="nil"/>
              <w:left w:val="nil"/>
              <w:bottom w:val="nil"/>
              <w:right w:val="nil"/>
            </w:tcBorders>
            <w:shd w:val="clear" w:color="auto" w:fill="auto"/>
            <w:noWrap/>
            <w:vAlign w:val="bottom"/>
            <w:hideMark/>
          </w:tcPr>
          <w:p w:rsidR="000E3053" w:rsidRPr="004E3E5A" w:rsidRDefault="000E3053" w:rsidP="000E3053">
            <w:pPr>
              <w:pStyle w:val="ListParagraph"/>
              <w:ind w:left="540" w:right="1584" w:hanging="540"/>
              <w:jc w:val="both"/>
              <w:rPr>
                <w:b/>
                <w:bCs/>
                <w:color w:val="000000"/>
              </w:rPr>
            </w:pPr>
            <w:r w:rsidRPr="00B573AA">
              <w:rPr>
                <w:b/>
                <w:bCs/>
                <w:color w:val="000000"/>
              </w:rPr>
              <w:t>Recognition of income</w:t>
            </w:r>
          </w:p>
        </w:tc>
      </w:tr>
      <w:tr w:rsidR="000E3053" w:rsidRPr="00B75218" w:rsidTr="000E3053">
        <w:trPr>
          <w:gridAfter w:val="2"/>
          <w:wAfter w:w="444" w:type="dxa"/>
          <w:trHeight w:val="396"/>
        </w:trPr>
        <w:tc>
          <w:tcPr>
            <w:tcW w:w="9570" w:type="dxa"/>
            <w:tcBorders>
              <w:top w:val="nil"/>
              <w:left w:val="nil"/>
              <w:bottom w:val="nil"/>
              <w:right w:val="nil"/>
            </w:tcBorders>
            <w:shd w:val="clear" w:color="auto" w:fill="auto"/>
            <w:noWrap/>
            <w:vAlign w:val="bottom"/>
            <w:hideMark/>
          </w:tcPr>
          <w:p w:rsidR="000E3053" w:rsidRPr="00B573AA" w:rsidRDefault="000E3053" w:rsidP="000E3053">
            <w:pPr>
              <w:jc w:val="both"/>
              <w:rPr>
                <w:b/>
                <w:bCs/>
                <w:color w:val="000000"/>
              </w:rPr>
            </w:pPr>
            <w:r>
              <w:rPr>
                <w:color w:val="000000"/>
              </w:rPr>
              <w:t xml:space="preserve">Income is included in the SOFA when </w:t>
            </w:r>
            <w:r w:rsidRPr="00B573AA">
              <w:rPr>
                <w:color w:val="000000"/>
              </w:rPr>
              <w:t>the charity becomes entitled to the resources, it is more likely that than not that the trustees will receive the resources and the monetary value can be measured with sufficient reliability.</w:t>
            </w:r>
          </w:p>
        </w:tc>
      </w:tr>
      <w:tr w:rsidR="000E3053" w:rsidRPr="00B75218" w:rsidTr="000E3053">
        <w:trPr>
          <w:gridAfter w:val="2"/>
          <w:wAfter w:w="444" w:type="dxa"/>
          <w:trHeight w:val="264"/>
        </w:trPr>
        <w:tc>
          <w:tcPr>
            <w:tcW w:w="9570" w:type="dxa"/>
            <w:tcBorders>
              <w:top w:val="nil"/>
              <w:left w:val="nil"/>
              <w:bottom w:val="nil"/>
              <w:right w:val="nil"/>
            </w:tcBorders>
            <w:shd w:val="clear" w:color="auto" w:fill="auto"/>
            <w:noWrap/>
            <w:vAlign w:val="bottom"/>
            <w:hideMark/>
          </w:tcPr>
          <w:p w:rsidR="000E3053" w:rsidRPr="00B573AA" w:rsidRDefault="000E3053" w:rsidP="000E3053">
            <w:pPr>
              <w:jc w:val="both"/>
              <w:rPr>
                <w:b/>
                <w:bCs/>
                <w:color w:val="000000"/>
              </w:rPr>
            </w:pPr>
            <w:r w:rsidRPr="00B573AA">
              <w:rPr>
                <w:b/>
                <w:bCs/>
                <w:color w:val="000000"/>
              </w:rPr>
              <w:t>Offsetting</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0E3053" w:rsidRPr="00B573AA" w:rsidRDefault="000E3053" w:rsidP="000E3053">
            <w:pPr>
              <w:ind w:right="-3"/>
              <w:jc w:val="both"/>
              <w:rPr>
                <w:color w:val="000000"/>
              </w:rPr>
            </w:pPr>
            <w:r w:rsidRPr="00B573AA">
              <w:rPr>
                <w:color w:val="000000"/>
              </w:rPr>
              <w:t>There has been no offsetting of assets and liability, or income and expenses, unless required or permitted by the FRS SORP.</w:t>
            </w:r>
          </w:p>
        </w:tc>
      </w:tr>
      <w:tr w:rsidR="000E3053" w:rsidRPr="00B75218" w:rsidTr="000E3053">
        <w:trPr>
          <w:gridAfter w:val="2"/>
          <w:wAfter w:w="444" w:type="dxa"/>
          <w:trHeight w:val="312"/>
        </w:trPr>
        <w:tc>
          <w:tcPr>
            <w:tcW w:w="9570" w:type="dxa"/>
            <w:tcBorders>
              <w:top w:val="nil"/>
              <w:left w:val="nil"/>
              <w:bottom w:val="nil"/>
              <w:right w:val="nil"/>
            </w:tcBorders>
            <w:shd w:val="clear" w:color="auto" w:fill="auto"/>
            <w:noWrap/>
            <w:vAlign w:val="bottom"/>
            <w:hideMark/>
          </w:tcPr>
          <w:p w:rsidR="000E3053" w:rsidRPr="00B573AA" w:rsidRDefault="000E3053" w:rsidP="000E3053">
            <w:pPr>
              <w:ind w:right="-3"/>
              <w:jc w:val="both"/>
              <w:rPr>
                <w:color w:val="000000"/>
              </w:rPr>
            </w:pPr>
            <w:r w:rsidRPr="00B573AA">
              <w:rPr>
                <w:b/>
                <w:bCs/>
                <w:color w:val="000000"/>
              </w:rPr>
              <w:t>Grants and donations.</w:t>
            </w:r>
          </w:p>
        </w:tc>
      </w:tr>
      <w:tr w:rsidR="000E3053" w:rsidRPr="00B75218" w:rsidTr="000E3053">
        <w:trPr>
          <w:gridAfter w:val="2"/>
          <w:wAfter w:w="444" w:type="dxa"/>
          <w:trHeight w:val="312"/>
        </w:trPr>
        <w:tc>
          <w:tcPr>
            <w:tcW w:w="9570" w:type="dxa"/>
            <w:tcBorders>
              <w:top w:val="nil"/>
              <w:left w:val="nil"/>
              <w:bottom w:val="nil"/>
              <w:right w:val="nil"/>
            </w:tcBorders>
            <w:shd w:val="clear" w:color="auto" w:fill="auto"/>
            <w:noWrap/>
            <w:vAlign w:val="bottom"/>
          </w:tcPr>
          <w:p w:rsidR="000E3053" w:rsidRPr="00B573AA" w:rsidRDefault="000E3053" w:rsidP="000E3053">
            <w:pPr>
              <w:ind w:right="-3"/>
              <w:jc w:val="both"/>
              <w:rPr>
                <w:color w:val="000000"/>
              </w:rPr>
            </w:pPr>
            <w:r w:rsidRPr="00B573AA">
              <w:rPr>
                <w:color w:val="000000"/>
              </w:rPr>
              <w:t>Grants and donations are only included in the S</w:t>
            </w:r>
            <w:r>
              <w:rPr>
                <w:color w:val="000000"/>
              </w:rPr>
              <w:t>O</w:t>
            </w:r>
            <w:r w:rsidRPr="00B573AA">
              <w:rPr>
                <w:color w:val="000000"/>
              </w:rPr>
              <w:t xml:space="preserve">FA when the general income recognition criteria are met.  </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tcPr>
          <w:p w:rsidR="000E3053" w:rsidRPr="00B573AA" w:rsidRDefault="000E3053" w:rsidP="000E3053">
            <w:pPr>
              <w:ind w:right="-3"/>
              <w:jc w:val="both"/>
              <w:rPr>
                <w:color w:val="000000"/>
              </w:rPr>
            </w:pPr>
            <w:r w:rsidRPr="00B573AA">
              <w:rPr>
                <w:b/>
                <w:bCs/>
                <w:color w:val="000000"/>
              </w:rPr>
              <w:t>Legacies</w:t>
            </w:r>
            <w:r w:rsidRPr="00B573AA">
              <w:rPr>
                <w:color w:val="000000"/>
              </w:rPr>
              <w:t xml:space="preserve"> </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0E3053" w:rsidRPr="00B573AA" w:rsidRDefault="000E3053" w:rsidP="000E3053">
            <w:pPr>
              <w:ind w:right="-3"/>
              <w:jc w:val="both"/>
              <w:rPr>
                <w:b/>
                <w:bCs/>
                <w:color w:val="000000"/>
              </w:rPr>
            </w:pPr>
            <w:r w:rsidRPr="00B573AA">
              <w:rPr>
                <w:color w:val="000000"/>
              </w:rPr>
              <w:t>Legacies are included in the SOFA when receipt is probable, that is, when there has been grant of probate, the executors have established that there are sufficient assets in the estate and any conditions attached to the legacy are either within the control of the charity or have been met.</w:t>
            </w:r>
          </w:p>
        </w:tc>
      </w:tr>
      <w:tr w:rsidR="000E3053" w:rsidRPr="00B75218" w:rsidTr="000E3053">
        <w:trPr>
          <w:gridAfter w:val="2"/>
          <w:wAfter w:w="444" w:type="dxa"/>
          <w:trHeight w:val="322"/>
        </w:trPr>
        <w:tc>
          <w:tcPr>
            <w:tcW w:w="9570" w:type="dxa"/>
            <w:tcBorders>
              <w:top w:val="nil"/>
              <w:left w:val="nil"/>
              <w:bottom w:val="nil"/>
              <w:right w:val="nil"/>
            </w:tcBorders>
            <w:shd w:val="clear" w:color="auto" w:fill="auto"/>
            <w:vAlign w:val="bottom"/>
            <w:hideMark/>
          </w:tcPr>
          <w:p w:rsidR="000E3053" w:rsidRPr="00B573AA" w:rsidRDefault="000E3053" w:rsidP="000E3053">
            <w:pPr>
              <w:ind w:right="-3"/>
              <w:jc w:val="both"/>
              <w:rPr>
                <w:color w:val="000000"/>
              </w:rPr>
            </w:pPr>
            <w:r w:rsidRPr="00B573AA">
              <w:rPr>
                <w:b/>
                <w:bCs/>
                <w:color w:val="000000"/>
              </w:rPr>
              <w:t>Tax reclaims on donations and gifts</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0E3053" w:rsidRPr="00B573AA" w:rsidRDefault="000E3053" w:rsidP="000E3053">
            <w:pPr>
              <w:ind w:right="-30"/>
              <w:jc w:val="both"/>
              <w:rPr>
                <w:b/>
                <w:bCs/>
                <w:color w:val="000000"/>
              </w:rPr>
            </w:pPr>
            <w:r w:rsidRPr="00B573AA">
              <w:rPr>
                <w:color w:val="000000"/>
              </w:rPr>
              <w:t xml:space="preserve">Gift Aid receivable is included in income when there is a valid declaration from the donor.  Any Gift Aid amount recovered on a donation </w:t>
            </w:r>
            <w:proofErr w:type="gramStart"/>
            <w:r w:rsidRPr="00B573AA">
              <w:rPr>
                <w:color w:val="000000"/>
              </w:rPr>
              <w:t>is considered to be</w:t>
            </w:r>
            <w:proofErr w:type="gramEnd"/>
            <w:r w:rsidRPr="00B573AA">
              <w:rPr>
                <w:color w:val="000000"/>
              </w:rPr>
              <w:t xml:space="preserve"> part of that gift and is treated as an addition to the same fund as the initial donation unless the donor or the terms of the appeal have specified otherwise.</w:t>
            </w:r>
          </w:p>
        </w:tc>
      </w:tr>
      <w:tr w:rsidR="000E3053" w:rsidRPr="00B75218" w:rsidTr="000E3053">
        <w:trPr>
          <w:gridAfter w:val="2"/>
          <w:wAfter w:w="444" w:type="dxa"/>
          <w:trHeight w:val="314"/>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8936"/>
              </w:tabs>
              <w:jc w:val="both"/>
              <w:rPr>
                <w:color w:val="000000"/>
              </w:rPr>
            </w:pPr>
            <w:r w:rsidRPr="00B573AA">
              <w:rPr>
                <w:b/>
                <w:bCs/>
                <w:color w:val="000000"/>
              </w:rPr>
              <w:t>Contractual income</w:t>
            </w:r>
            <w:r w:rsidRPr="00B573AA">
              <w:rPr>
                <w:color w:val="000000"/>
              </w:rPr>
              <w:t xml:space="preserve"> </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8936"/>
              </w:tabs>
              <w:jc w:val="both"/>
              <w:rPr>
                <w:color w:val="000000"/>
              </w:rPr>
            </w:pPr>
            <w:r w:rsidRPr="00B573AA">
              <w:rPr>
                <w:color w:val="000000"/>
              </w:rPr>
              <w:t xml:space="preserve">Contractual income is only included once the charity has provided the related service. </w:t>
            </w:r>
          </w:p>
        </w:tc>
      </w:tr>
      <w:tr w:rsidR="000E3053" w:rsidRPr="00B75218" w:rsidTr="000E3053">
        <w:trPr>
          <w:gridAfter w:val="1"/>
          <w:wAfter w:w="222" w:type="dxa"/>
          <w:trHeight w:val="324"/>
        </w:trPr>
        <w:tc>
          <w:tcPr>
            <w:tcW w:w="9792" w:type="dxa"/>
            <w:gridSpan w:val="2"/>
            <w:tcBorders>
              <w:top w:val="nil"/>
              <w:left w:val="nil"/>
              <w:bottom w:val="nil"/>
              <w:right w:val="nil"/>
            </w:tcBorders>
            <w:shd w:val="clear" w:color="auto" w:fill="auto"/>
            <w:vAlign w:val="bottom"/>
            <w:hideMark/>
          </w:tcPr>
          <w:p w:rsidR="000E3053" w:rsidRPr="00B573AA" w:rsidRDefault="000E3053" w:rsidP="000E3053">
            <w:pPr>
              <w:tabs>
                <w:tab w:val="left" w:pos="7236"/>
              </w:tabs>
              <w:jc w:val="both"/>
              <w:rPr>
                <w:color w:val="000000"/>
              </w:rPr>
            </w:pPr>
            <w:r w:rsidRPr="00B573AA">
              <w:rPr>
                <w:b/>
                <w:bCs/>
                <w:color w:val="000000"/>
              </w:rPr>
              <w:t>Volunteer help</w:t>
            </w:r>
          </w:p>
        </w:tc>
      </w:tr>
      <w:tr w:rsidR="000E3053" w:rsidRPr="00B75218" w:rsidTr="000E3053">
        <w:trPr>
          <w:gridAfter w:val="2"/>
          <w:wAfter w:w="444" w:type="dxa"/>
          <w:trHeight w:val="245"/>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7236"/>
              </w:tabs>
              <w:jc w:val="both"/>
              <w:rPr>
                <w:color w:val="000000"/>
              </w:rPr>
            </w:pPr>
            <w:r w:rsidRPr="00B573AA">
              <w:rPr>
                <w:color w:val="000000"/>
              </w:rPr>
              <w:t>The value of voluntary help received is not included in the accounts but is described in the trustees’ annual report.</w:t>
            </w:r>
          </w:p>
        </w:tc>
      </w:tr>
      <w:tr w:rsidR="000E3053" w:rsidRPr="00B75218" w:rsidTr="000E3053">
        <w:trPr>
          <w:gridAfter w:val="2"/>
          <w:wAfter w:w="444" w:type="dxa"/>
          <w:trHeight w:val="292"/>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7236"/>
              </w:tabs>
              <w:jc w:val="both"/>
              <w:rPr>
                <w:color w:val="000000"/>
              </w:rPr>
            </w:pPr>
            <w:r w:rsidRPr="00B573AA">
              <w:rPr>
                <w:b/>
                <w:bCs/>
                <w:color w:val="000000"/>
              </w:rPr>
              <w:t>Income from interest, royalties and dividends</w:t>
            </w: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7236"/>
              </w:tabs>
              <w:jc w:val="both"/>
              <w:rPr>
                <w:b/>
                <w:bCs/>
                <w:color w:val="000000"/>
              </w:rPr>
            </w:pPr>
            <w:r w:rsidRPr="00B573AA">
              <w:rPr>
                <w:color w:val="000000"/>
              </w:rPr>
              <w:t xml:space="preserve">This is included in the accounts when receipt is </w:t>
            </w:r>
            <w:proofErr w:type="gramStart"/>
            <w:r w:rsidRPr="00B573AA">
              <w:rPr>
                <w:color w:val="000000"/>
              </w:rPr>
              <w:t>probable</w:t>
            </w:r>
            <w:proofErr w:type="gramEnd"/>
            <w:r w:rsidRPr="00B573AA">
              <w:rPr>
                <w:color w:val="000000"/>
              </w:rPr>
              <w:t xml:space="preserve"> and the amount receivable can be measured reliably.</w:t>
            </w:r>
          </w:p>
        </w:tc>
      </w:tr>
      <w:tr w:rsidR="000E3053" w:rsidRPr="00B75218" w:rsidTr="000E3053">
        <w:trPr>
          <w:gridAfter w:val="2"/>
          <w:wAfter w:w="444" w:type="dxa"/>
          <w:trHeight w:val="273"/>
        </w:trPr>
        <w:tc>
          <w:tcPr>
            <w:tcW w:w="9570" w:type="dxa"/>
            <w:tcBorders>
              <w:top w:val="nil"/>
              <w:left w:val="nil"/>
              <w:bottom w:val="nil"/>
              <w:right w:val="nil"/>
            </w:tcBorders>
            <w:shd w:val="clear" w:color="auto" w:fill="auto"/>
            <w:noWrap/>
            <w:hideMark/>
          </w:tcPr>
          <w:p w:rsidR="000E3053" w:rsidRDefault="000E3053" w:rsidP="000E3053">
            <w:pPr>
              <w:tabs>
                <w:tab w:val="left" w:pos="7236"/>
              </w:tabs>
              <w:jc w:val="both"/>
              <w:rPr>
                <w:b/>
                <w:bCs/>
                <w:color w:val="000000"/>
              </w:rPr>
            </w:pPr>
          </w:p>
          <w:p w:rsidR="000E3053" w:rsidRPr="00B573AA" w:rsidRDefault="000E3053" w:rsidP="000E3053">
            <w:pPr>
              <w:tabs>
                <w:tab w:val="left" w:pos="7236"/>
              </w:tabs>
              <w:jc w:val="both"/>
              <w:rPr>
                <w:b/>
                <w:bCs/>
                <w:color w:val="000000"/>
              </w:rPr>
            </w:pPr>
            <w:r w:rsidRPr="00B573AA">
              <w:rPr>
                <w:b/>
                <w:bCs/>
                <w:color w:val="000000"/>
              </w:rPr>
              <w:lastRenderedPageBreak/>
              <w:t>Settlement of insurance claims</w:t>
            </w:r>
          </w:p>
          <w:p w:rsidR="000E3053" w:rsidRPr="00B573AA" w:rsidRDefault="000E3053" w:rsidP="000E3053">
            <w:pPr>
              <w:tabs>
                <w:tab w:val="left" w:pos="7236"/>
              </w:tabs>
              <w:jc w:val="both"/>
              <w:rPr>
                <w:color w:val="000000"/>
              </w:rPr>
            </w:pPr>
            <w:r w:rsidRPr="00B573AA">
              <w:rPr>
                <w:color w:val="000000"/>
              </w:rPr>
              <w:t>Insurance claims are only included in the S</w:t>
            </w:r>
            <w:r>
              <w:rPr>
                <w:color w:val="000000"/>
              </w:rPr>
              <w:t>O</w:t>
            </w:r>
            <w:r w:rsidRPr="00B573AA">
              <w:rPr>
                <w:color w:val="000000"/>
              </w:rPr>
              <w:t>FA when the general income recognition criteria are met.</w:t>
            </w:r>
          </w:p>
        </w:tc>
      </w:tr>
      <w:tr w:rsidR="000E3053" w:rsidRPr="00B75218" w:rsidTr="000E3053">
        <w:trPr>
          <w:gridAfter w:val="2"/>
          <w:wAfter w:w="444" w:type="dxa"/>
          <w:trHeight w:val="149"/>
        </w:trPr>
        <w:tc>
          <w:tcPr>
            <w:tcW w:w="9570" w:type="dxa"/>
            <w:tcBorders>
              <w:top w:val="nil"/>
              <w:left w:val="nil"/>
              <w:bottom w:val="nil"/>
              <w:right w:val="nil"/>
            </w:tcBorders>
            <w:shd w:val="clear" w:color="auto" w:fill="auto"/>
            <w:noWrap/>
            <w:vAlign w:val="bottom"/>
            <w:hideMark/>
          </w:tcPr>
          <w:p w:rsidR="000E3053" w:rsidRPr="00B573AA" w:rsidRDefault="000E3053" w:rsidP="000E3053">
            <w:pPr>
              <w:tabs>
                <w:tab w:val="left" w:pos="7236"/>
              </w:tabs>
              <w:jc w:val="both"/>
              <w:rPr>
                <w:b/>
                <w:bCs/>
                <w:color w:val="000000"/>
              </w:rPr>
            </w:pPr>
          </w:p>
          <w:p w:rsidR="000E3053" w:rsidRPr="00B573AA" w:rsidRDefault="000E3053" w:rsidP="000E3053">
            <w:pPr>
              <w:tabs>
                <w:tab w:val="left" w:pos="7236"/>
              </w:tabs>
              <w:jc w:val="both"/>
              <w:rPr>
                <w:b/>
                <w:bCs/>
                <w:color w:val="000000"/>
              </w:rPr>
            </w:pPr>
            <w:r w:rsidRPr="00B573AA">
              <w:rPr>
                <w:b/>
                <w:bCs/>
                <w:color w:val="000000"/>
              </w:rPr>
              <w:t>2.2 Expenditure and liabilities</w:t>
            </w:r>
          </w:p>
          <w:p w:rsidR="000E3053" w:rsidRDefault="000E3053" w:rsidP="000E3053">
            <w:pPr>
              <w:tabs>
                <w:tab w:val="left" w:pos="7236"/>
              </w:tabs>
              <w:jc w:val="both"/>
              <w:rPr>
                <w:b/>
                <w:bCs/>
                <w:color w:val="000000"/>
              </w:rPr>
            </w:pPr>
          </w:p>
          <w:p w:rsidR="000E3053" w:rsidRPr="00B573AA" w:rsidRDefault="000E3053" w:rsidP="000E3053">
            <w:pPr>
              <w:tabs>
                <w:tab w:val="left" w:pos="7236"/>
              </w:tabs>
              <w:jc w:val="both"/>
              <w:rPr>
                <w:b/>
                <w:bCs/>
                <w:color w:val="000000"/>
              </w:rPr>
            </w:pPr>
            <w:r w:rsidRPr="00B573AA">
              <w:rPr>
                <w:b/>
                <w:bCs/>
                <w:color w:val="000000"/>
              </w:rPr>
              <w:t xml:space="preserve">Liability recognition </w:t>
            </w:r>
          </w:p>
          <w:p w:rsidR="000E3053" w:rsidRPr="00B573AA" w:rsidRDefault="000E3053" w:rsidP="000E3053">
            <w:pPr>
              <w:tabs>
                <w:tab w:val="left" w:pos="7236"/>
              </w:tabs>
              <w:jc w:val="both"/>
              <w:rPr>
                <w:bCs/>
                <w:color w:val="000000"/>
              </w:rPr>
            </w:pPr>
            <w:r w:rsidRPr="00B573AA">
              <w:rPr>
                <w:bCs/>
                <w:color w:val="000000"/>
              </w:rPr>
              <w:t xml:space="preserve">Liabilities are recognised where it is more likely than not that there is a legal or constructive obligation committing the charity to pay out resources and the amount of the obligation can be measured with reasonable certainty. </w:t>
            </w:r>
          </w:p>
          <w:p w:rsidR="000E3053" w:rsidRPr="00B573AA" w:rsidRDefault="000E3053" w:rsidP="000E3053">
            <w:pPr>
              <w:tabs>
                <w:tab w:val="left" w:pos="7236"/>
              </w:tabs>
              <w:jc w:val="both"/>
              <w:rPr>
                <w:b/>
                <w:bCs/>
                <w:color w:val="000000"/>
              </w:rPr>
            </w:pPr>
            <w:r w:rsidRPr="00B573AA">
              <w:rPr>
                <w:b/>
                <w:bCs/>
                <w:color w:val="000000"/>
              </w:rPr>
              <w:t xml:space="preserve">Governance and support costs </w:t>
            </w:r>
          </w:p>
          <w:p w:rsidR="000E3053" w:rsidRPr="00B573AA" w:rsidRDefault="000E3053" w:rsidP="000E3053">
            <w:pPr>
              <w:tabs>
                <w:tab w:val="left" w:pos="7236"/>
              </w:tabs>
              <w:jc w:val="both"/>
              <w:rPr>
                <w:bCs/>
                <w:color w:val="000000"/>
              </w:rPr>
            </w:pPr>
            <w:r w:rsidRPr="00B573AA">
              <w:rPr>
                <w:bCs/>
                <w:color w:val="000000"/>
              </w:rPr>
              <w:t xml:space="preserve">Support costs have been allocated between governance costs and other support.  Governance costs comprise all costs involving public accountability of the charity and its compliance with regulation and good practice.  </w:t>
            </w:r>
          </w:p>
          <w:p w:rsidR="000E3053" w:rsidRPr="00B573AA" w:rsidRDefault="000E3053" w:rsidP="000E3053">
            <w:pPr>
              <w:tabs>
                <w:tab w:val="left" w:pos="7236"/>
              </w:tabs>
              <w:jc w:val="both"/>
              <w:rPr>
                <w:bCs/>
                <w:color w:val="000000"/>
              </w:rPr>
            </w:pPr>
            <w:r w:rsidRPr="00B573AA">
              <w:rPr>
                <w:bCs/>
                <w:color w:val="000000"/>
              </w:rPr>
              <w:t>The charity made no redundancy payments during the reporting period.</w:t>
            </w:r>
          </w:p>
          <w:p w:rsidR="000E3053" w:rsidRPr="00B573AA" w:rsidRDefault="000E3053" w:rsidP="000E3053">
            <w:pPr>
              <w:tabs>
                <w:tab w:val="left" w:pos="7236"/>
              </w:tabs>
              <w:jc w:val="both"/>
              <w:rPr>
                <w:b/>
                <w:bCs/>
                <w:color w:val="000000"/>
              </w:rPr>
            </w:pPr>
            <w:r w:rsidRPr="00B573AA">
              <w:rPr>
                <w:b/>
                <w:bCs/>
                <w:color w:val="000000"/>
              </w:rPr>
              <w:t xml:space="preserve">Deferred income  </w:t>
            </w:r>
          </w:p>
          <w:p w:rsidR="000E3053" w:rsidRDefault="000E3053" w:rsidP="000E3053">
            <w:pPr>
              <w:tabs>
                <w:tab w:val="left" w:pos="7236"/>
              </w:tabs>
              <w:jc w:val="both"/>
              <w:rPr>
                <w:bCs/>
                <w:color w:val="000000"/>
              </w:rPr>
            </w:pPr>
            <w:r>
              <w:rPr>
                <w:bCs/>
                <w:color w:val="000000"/>
              </w:rPr>
              <w:t>Deferred income is only recognised where payment has been received in advance.</w:t>
            </w:r>
          </w:p>
          <w:p w:rsidR="000E3053" w:rsidRPr="00B573AA" w:rsidRDefault="000E3053" w:rsidP="000E3053">
            <w:pPr>
              <w:tabs>
                <w:tab w:val="left" w:pos="7236"/>
              </w:tabs>
              <w:jc w:val="both"/>
              <w:rPr>
                <w:b/>
                <w:bCs/>
                <w:color w:val="000000"/>
              </w:rPr>
            </w:pPr>
            <w:r w:rsidRPr="00B573AA">
              <w:rPr>
                <w:b/>
                <w:bCs/>
                <w:color w:val="000000"/>
              </w:rPr>
              <w:t>Creditors</w:t>
            </w:r>
          </w:p>
          <w:p w:rsidR="000E3053" w:rsidRPr="00B573AA" w:rsidRDefault="000E3053" w:rsidP="000E3053">
            <w:pPr>
              <w:tabs>
                <w:tab w:val="left" w:pos="7236"/>
              </w:tabs>
              <w:jc w:val="both"/>
              <w:rPr>
                <w:bCs/>
                <w:color w:val="000000"/>
              </w:rPr>
            </w:pPr>
            <w:r w:rsidRPr="00B573AA">
              <w:rPr>
                <w:bCs/>
                <w:color w:val="000000"/>
              </w:rPr>
              <w:t>The charity has creditors which are measured at settlement amounts less any trade discounts.</w:t>
            </w:r>
          </w:p>
          <w:p w:rsidR="000E3053" w:rsidRPr="00B573AA" w:rsidRDefault="000E3053" w:rsidP="000E3053">
            <w:pPr>
              <w:tabs>
                <w:tab w:val="left" w:pos="7236"/>
              </w:tabs>
              <w:jc w:val="both"/>
              <w:rPr>
                <w:b/>
                <w:bCs/>
                <w:color w:val="000000"/>
              </w:rPr>
            </w:pPr>
            <w:r w:rsidRPr="00B573AA">
              <w:rPr>
                <w:b/>
                <w:bCs/>
                <w:color w:val="000000"/>
              </w:rPr>
              <w:t>Provision for liabilities</w:t>
            </w:r>
          </w:p>
          <w:p w:rsidR="000E3053" w:rsidRPr="00B573AA" w:rsidRDefault="000E3053" w:rsidP="000E3053">
            <w:pPr>
              <w:tabs>
                <w:tab w:val="left" w:pos="7236"/>
              </w:tabs>
              <w:jc w:val="both"/>
              <w:rPr>
                <w:bCs/>
                <w:color w:val="000000"/>
              </w:rPr>
            </w:pPr>
            <w:r w:rsidRPr="00B573AA">
              <w:rPr>
                <w:bCs/>
                <w:color w:val="000000"/>
              </w:rPr>
              <w:t>A liability is measured on recognition at its historical cost and then subsequently measured at the best estimate of the amount required to settle the obligation at the reporting date</w:t>
            </w:r>
            <w:r>
              <w:rPr>
                <w:bCs/>
                <w:color w:val="000000"/>
              </w:rPr>
              <w:t>.</w:t>
            </w:r>
          </w:p>
          <w:p w:rsidR="000E3053" w:rsidRPr="00B573AA" w:rsidRDefault="000E3053" w:rsidP="000E3053">
            <w:pPr>
              <w:tabs>
                <w:tab w:val="left" w:pos="7236"/>
              </w:tabs>
              <w:jc w:val="both"/>
              <w:rPr>
                <w:b/>
                <w:bCs/>
                <w:color w:val="000000"/>
              </w:rPr>
            </w:pPr>
            <w:r w:rsidRPr="00B573AA">
              <w:rPr>
                <w:b/>
                <w:bCs/>
                <w:color w:val="000000"/>
              </w:rPr>
              <w:t>Basic financial instruments</w:t>
            </w:r>
          </w:p>
          <w:p w:rsidR="000E3053" w:rsidRPr="00B573AA" w:rsidRDefault="000E3053" w:rsidP="000E3053">
            <w:pPr>
              <w:tabs>
                <w:tab w:val="left" w:pos="7236"/>
              </w:tabs>
              <w:jc w:val="both"/>
              <w:rPr>
                <w:bCs/>
                <w:color w:val="000000"/>
              </w:rPr>
            </w:pPr>
            <w:r w:rsidRPr="00B573AA">
              <w:rPr>
                <w:bCs/>
                <w:color w:val="000000"/>
              </w:rPr>
              <w:t>The charity accounts for basic financial instruments on initial recognition as per paragraph 10.7 FRS102 SORP.  Subsequent measurement is as per paragraphs 11.17 to 11.19, FRS102 SORP.</w:t>
            </w:r>
          </w:p>
          <w:p w:rsidR="000E3053" w:rsidRDefault="000E3053" w:rsidP="000E3053">
            <w:pPr>
              <w:tabs>
                <w:tab w:val="left" w:pos="7236"/>
              </w:tabs>
              <w:jc w:val="both"/>
              <w:rPr>
                <w:b/>
                <w:bCs/>
                <w:color w:val="000000"/>
              </w:rPr>
            </w:pPr>
          </w:p>
          <w:p w:rsidR="000E3053" w:rsidRPr="00B573AA" w:rsidRDefault="000E3053" w:rsidP="000E3053">
            <w:pPr>
              <w:tabs>
                <w:tab w:val="left" w:pos="7236"/>
              </w:tabs>
              <w:jc w:val="both"/>
              <w:rPr>
                <w:b/>
                <w:bCs/>
                <w:color w:val="000000"/>
              </w:rPr>
            </w:pPr>
            <w:r w:rsidRPr="00B573AA">
              <w:rPr>
                <w:b/>
                <w:bCs/>
                <w:color w:val="000000"/>
              </w:rPr>
              <w:t>2.3 Assets</w:t>
            </w:r>
          </w:p>
          <w:p w:rsidR="000E3053" w:rsidRDefault="000E3053" w:rsidP="000E3053">
            <w:pPr>
              <w:tabs>
                <w:tab w:val="left" w:pos="7236"/>
              </w:tabs>
              <w:jc w:val="both"/>
              <w:rPr>
                <w:bCs/>
                <w:color w:val="000000"/>
              </w:rPr>
            </w:pPr>
          </w:p>
          <w:p w:rsidR="000E3053" w:rsidRDefault="000E3053" w:rsidP="000E3053">
            <w:pPr>
              <w:tabs>
                <w:tab w:val="left" w:pos="7236"/>
              </w:tabs>
              <w:jc w:val="both"/>
              <w:rPr>
                <w:bCs/>
                <w:color w:val="000000"/>
              </w:rPr>
            </w:pPr>
            <w:r w:rsidRPr="00B573AA">
              <w:rPr>
                <w:bCs/>
                <w:color w:val="000000"/>
              </w:rPr>
              <w:t>Tangible fixed assets for the use by the charity are capitalised if they can be used for more than one year, and cost at least £4,000 They are valued at cost. The depreciation rates and methods used are</w:t>
            </w:r>
            <w:r w:rsidR="007505C3">
              <w:rPr>
                <w:bCs/>
                <w:color w:val="000000"/>
              </w:rPr>
              <w:t>:    Freehold buildings:                             2% straight line</w:t>
            </w:r>
          </w:p>
          <w:p w:rsidR="007505C3" w:rsidRPr="00B573AA" w:rsidRDefault="007505C3" w:rsidP="000E3053">
            <w:pPr>
              <w:tabs>
                <w:tab w:val="left" w:pos="7236"/>
              </w:tabs>
              <w:jc w:val="both"/>
              <w:rPr>
                <w:bCs/>
                <w:color w:val="000000"/>
              </w:rPr>
            </w:pPr>
            <w:r>
              <w:rPr>
                <w:bCs/>
                <w:color w:val="000000"/>
              </w:rPr>
              <w:t xml:space="preserve">                  Fixtures, fittings and equipment:       20% straight line</w:t>
            </w:r>
          </w:p>
          <w:p w:rsidR="000E3053" w:rsidRPr="00B573AA" w:rsidRDefault="000E3053" w:rsidP="000E3053">
            <w:pPr>
              <w:tabs>
                <w:tab w:val="left" w:pos="7236"/>
              </w:tabs>
              <w:jc w:val="both"/>
              <w:rPr>
                <w:b/>
                <w:bCs/>
                <w:color w:val="000000"/>
              </w:rPr>
            </w:pPr>
          </w:p>
          <w:p w:rsidR="000E3053" w:rsidRPr="00B573AA" w:rsidRDefault="000E3053" w:rsidP="000E3053">
            <w:pPr>
              <w:tabs>
                <w:tab w:val="left" w:pos="7236"/>
              </w:tabs>
              <w:jc w:val="both"/>
              <w:rPr>
                <w:bCs/>
                <w:color w:val="000000"/>
              </w:rPr>
            </w:pPr>
          </w:p>
          <w:p w:rsidR="000E3053" w:rsidRPr="00B573AA" w:rsidRDefault="000E3053" w:rsidP="000E3053">
            <w:pPr>
              <w:tabs>
                <w:tab w:val="left" w:pos="7236"/>
              </w:tabs>
              <w:jc w:val="both"/>
              <w:rPr>
                <w:b/>
                <w:bCs/>
                <w:color w:val="000000"/>
              </w:rPr>
            </w:pPr>
          </w:p>
        </w:tc>
      </w:tr>
      <w:tr w:rsidR="000E3053" w:rsidRPr="00B75218" w:rsidTr="000E3053">
        <w:trPr>
          <w:gridAfter w:val="2"/>
          <w:wAfter w:w="444" w:type="dxa"/>
          <w:trHeight w:val="252"/>
        </w:trPr>
        <w:tc>
          <w:tcPr>
            <w:tcW w:w="9570" w:type="dxa"/>
            <w:tcBorders>
              <w:top w:val="nil"/>
              <w:left w:val="nil"/>
              <w:bottom w:val="nil"/>
              <w:right w:val="nil"/>
            </w:tcBorders>
            <w:shd w:val="clear" w:color="auto" w:fill="auto"/>
            <w:hideMark/>
          </w:tcPr>
          <w:p w:rsidR="000E3053" w:rsidRPr="00B573AA" w:rsidRDefault="000E3053" w:rsidP="007505C3">
            <w:pPr>
              <w:jc w:val="both"/>
              <w:rPr>
                <w:color w:val="000000"/>
              </w:rPr>
            </w:pPr>
          </w:p>
        </w:tc>
      </w:tr>
      <w:tr w:rsidR="000E3053" w:rsidRPr="00B75218" w:rsidTr="000E3053">
        <w:trPr>
          <w:gridAfter w:val="2"/>
          <w:wAfter w:w="444" w:type="dxa"/>
          <w:trHeight w:val="288"/>
        </w:trPr>
        <w:tc>
          <w:tcPr>
            <w:tcW w:w="9570" w:type="dxa"/>
            <w:tcBorders>
              <w:top w:val="nil"/>
              <w:left w:val="nil"/>
              <w:bottom w:val="nil"/>
              <w:right w:val="nil"/>
            </w:tcBorders>
            <w:shd w:val="clear" w:color="auto" w:fill="auto"/>
            <w:noWrap/>
            <w:hideMark/>
          </w:tcPr>
          <w:p w:rsidR="000E3053" w:rsidRPr="00B573AA" w:rsidRDefault="000E3053" w:rsidP="000E3053">
            <w:pPr>
              <w:tabs>
                <w:tab w:val="left" w:pos="7236"/>
              </w:tabs>
              <w:jc w:val="both"/>
              <w:rPr>
                <w:b/>
                <w:bCs/>
                <w:color w:val="000000"/>
              </w:rPr>
            </w:pPr>
          </w:p>
        </w:tc>
      </w:tr>
      <w:tr w:rsidR="000E3053" w:rsidTr="000E3053">
        <w:trPr>
          <w:gridAfter w:val="2"/>
          <w:wAfter w:w="444" w:type="dxa"/>
          <w:trHeight w:val="274"/>
        </w:trPr>
        <w:tc>
          <w:tcPr>
            <w:tcW w:w="9570" w:type="dxa"/>
            <w:tcBorders>
              <w:top w:val="nil"/>
              <w:left w:val="nil"/>
              <w:bottom w:val="nil"/>
              <w:right w:val="nil"/>
            </w:tcBorders>
            <w:shd w:val="clear" w:color="auto" w:fill="auto"/>
          </w:tcPr>
          <w:p w:rsidR="000E3053" w:rsidRPr="00B573AA" w:rsidRDefault="000E3053" w:rsidP="000E3053">
            <w:pPr>
              <w:tabs>
                <w:tab w:val="left" w:pos="7236"/>
              </w:tabs>
              <w:jc w:val="both"/>
            </w:pPr>
          </w:p>
        </w:tc>
      </w:tr>
      <w:tr w:rsidR="000E3053" w:rsidRPr="00B75218" w:rsidTr="000E3053">
        <w:trPr>
          <w:gridAfter w:val="2"/>
          <w:wAfter w:w="444" w:type="dxa"/>
          <w:trHeight w:val="229"/>
        </w:trPr>
        <w:tc>
          <w:tcPr>
            <w:tcW w:w="9570" w:type="dxa"/>
            <w:tcBorders>
              <w:top w:val="nil"/>
              <w:left w:val="nil"/>
              <w:bottom w:val="nil"/>
              <w:right w:val="nil"/>
            </w:tcBorders>
            <w:shd w:val="clear" w:color="auto" w:fill="auto"/>
          </w:tcPr>
          <w:p w:rsidR="000E3053" w:rsidRPr="00B573AA" w:rsidRDefault="000E3053" w:rsidP="000E3053">
            <w:pPr>
              <w:ind w:right="1584"/>
              <w:jc w:val="both"/>
              <w:rPr>
                <w:b/>
                <w:bCs/>
                <w:color w:val="000000"/>
              </w:rPr>
            </w:pPr>
          </w:p>
        </w:tc>
      </w:tr>
      <w:tr w:rsidR="000E3053" w:rsidRPr="004E3E5A" w:rsidTr="000E3053">
        <w:trPr>
          <w:gridAfter w:val="2"/>
          <w:wAfter w:w="444" w:type="dxa"/>
          <w:trHeight w:val="700"/>
        </w:trPr>
        <w:tc>
          <w:tcPr>
            <w:tcW w:w="9570" w:type="dxa"/>
            <w:tcBorders>
              <w:top w:val="nil"/>
              <w:left w:val="nil"/>
              <w:bottom w:val="nil"/>
              <w:right w:val="nil"/>
            </w:tcBorders>
            <w:shd w:val="clear" w:color="auto" w:fill="auto"/>
            <w:noWrap/>
          </w:tcPr>
          <w:p w:rsidR="000E3053" w:rsidRPr="004E3E5A" w:rsidRDefault="000E3053" w:rsidP="000E3053">
            <w:pPr>
              <w:jc w:val="both"/>
              <w:rPr>
                <w:bCs/>
                <w:color w:val="000000"/>
              </w:rPr>
            </w:pPr>
          </w:p>
        </w:tc>
      </w:tr>
    </w:tbl>
    <w:p w:rsidR="00177416" w:rsidRDefault="00177416">
      <w:pPr>
        <w:spacing w:after="200" w:line="276" w:lineRule="auto"/>
        <w:rPr>
          <w:rFonts w:eastAsia="Calibri"/>
          <w:b/>
          <w:sz w:val="28"/>
          <w:szCs w:val="28"/>
          <w:lang w:eastAsia="en-US"/>
        </w:rPr>
      </w:pPr>
    </w:p>
    <w:p w:rsidR="00177416" w:rsidRDefault="00177416">
      <w:pPr>
        <w:spacing w:after="200" w:line="276" w:lineRule="auto"/>
        <w:rPr>
          <w:rFonts w:eastAsia="Calibri"/>
          <w:b/>
          <w:sz w:val="28"/>
          <w:szCs w:val="28"/>
          <w:lang w:eastAsia="en-US"/>
        </w:rPr>
      </w:pPr>
      <w:r>
        <w:rPr>
          <w:rFonts w:eastAsia="Calibri"/>
          <w:b/>
          <w:sz w:val="28"/>
          <w:szCs w:val="28"/>
          <w:lang w:eastAsia="en-US"/>
        </w:rPr>
        <w:br w:type="page"/>
      </w:r>
    </w:p>
    <w:p w:rsidR="00556CC9" w:rsidRDefault="00556CC9">
      <w:pPr>
        <w:spacing w:after="200" w:line="276" w:lineRule="auto"/>
        <w:rPr>
          <w:rFonts w:eastAsia="Calibri"/>
          <w:noProof/>
        </w:rPr>
      </w:pPr>
    </w:p>
    <w:p w:rsidR="00556CC9" w:rsidRDefault="00556CC9">
      <w:pPr>
        <w:spacing w:after="200" w:line="276" w:lineRule="auto"/>
        <w:rPr>
          <w:rFonts w:eastAsia="Calibri"/>
          <w:noProof/>
        </w:rPr>
      </w:pPr>
    </w:p>
    <w:p w:rsidR="00556CC9" w:rsidRDefault="00556CC9">
      <w:pPr>
        <w:spacing w:after="200" w:line="276" w:lineRule="auto"/>
        <w:rPr>
          <w:rFonts w:eastAsia="Calibri"/>
          <w:noProof/>
        </w:rPr>
      </w:pPr>
      <w:r w:rsidRPr="00556CC9">
        <w:rPr>
          <w:rFonts w:eastAsia="Calibri"/>
          <w:noProof/>
        </w:rPr>
        <w:drawing>
          <wp:inline distT="0" distB="0" distL="0" distR="0">
            <wp:extent cx="6210935" cy="75434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7543463"/>
                    </a:xfrm>
                    <a:prstGeom prst="rect">
                      <a:avLst/>
                    </a:prstGeom>
                    <a:noFill/>
                    <a:ln>
                      <a:noFill/>
                    </a:ln>
                  </pic:spPr>
                </pic:pic>
              </a:graphicData>
            </a:graphic>
          </wp:inline>
        </w:drawing>
      </w:r>
      <w:r>
        <w:rPr>
          <w:rFonts w:eastAsia="Calibri"/>
          <w:noProof/>
        </w:rPr>
        <w:br w:type="page"/>
      </w:r>
    </w:p>
    <w:p w:rsidR="00641E9A" w:rsidRDefault="00DA588C">
      <w:pPr>
        <w:spacing w:after="200" w:line="276" w:lineRule="auto"/>
        <w:rPr>
          <w:rFonts w:eastAsia="Calibri"/>
          <w:b/>
          <w:sz w:val="28"/>
          <w:szCs w:val="28"/>
          <w:lang w:eastAsia="en-US"/>
        </w:rPr>
      </w:pPr>
      <w:r w:rsidRPr="00DA588C">
        <w:rPr>
          <w:rFonts w:eastAsia="Calibri"/>
          <w:noProof/>
        </w:rPr>
        <w:lastRenderedPageBreak/>
        <w:drawing>
          <wp:inline distT="0" distB="0" distL="0" distR="0">
            <wp:extent cx="6210300" cy="840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8404860"/>
                    </a:xfrm>
                    <a:prstGeom prst="rect">
                      <a:avLst/>
                    </a:prstGeom>
                    <a:noFill/>
                    <a:ln>
                      <a:noFill/>
                    </a:ln>
                  </pic:spPr>
                </pic:pic>
              </a:graphicData>
            </a:graphic>
          </wp:inline>
        </w:drawing>
      </w:r>
    </w:p>
    <w:p w:rsidR="00F635D4" w:rsidRDefault="00641E9A">
      <w:pPr>
        <w:spacing w:after="200" w:line="276" w:lineRule="auto"/>
        <w:rPr>
          <w:rFonts w:eastAsia="Calibri"/>
          <w:b/>
          <w:lang w:eastAsia="en-US"/>
        </w:rPr>
      </w:pPr>
      <w:r w:rsidRPr="00641E9A">
        <w:rPr>
          <w:rFonts w:eastAsia="Calibri"/>
          <w:b/>
          <w:lang w:eastAsia="en-US"/>
        </w:rPr>
        <w:lastRenderedPageBreak/>
        <w:t>Note 4 Continued</w:t>
      </w:r>
    </w:p>
    <w:p w:rsidR="00641E9A" w:rsidRDefault="00FC54A9">
      <w:pPr>
        <w:spacing w:after="200" w:line="276" w:lineRule="auto"/>
        <w:rPr>
          <w:rFonts w:eastAsia="Calibri"/>
          <w:b/>
          <w:lang w:eastAsia="en-US"/>
        </w:rPr>
      </w:pPr>
      <w:r w:rsidRPr="00FC54A9">
        <w:rPr>
          <w:rFonts w:eastAsia="Calibri"/>
          <w:noProof/>
        </w:rPr>
        <w:drawing>
          <wp:inline distT="0" distB="0" distL="0" distR="0">
            <wp:extent cx="6210300" cy="4549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4549140"/>
                    </a:xfrm>
                    <a:prstGeom prst="rect">
                      <a:avLst/>
                    </a:prstGeom>
                    <a:noFill/>
                    <a:ln>
                      <a:noFill/>
                    </a:ln>
                  </pic:spPr>
                </pic:pic>
              </a:graphicData>
            </a:graphic>
          </wp:inline>
        </w:drawing>
      </w:r>
    </w:p>
    <w:p w:rsidR="00641E9A" w:rsidRPr="00905230" w:rsidRDefault="00905230">
      <w:pPr>
        <w:spacing w:after="200" w:line="276" w:lineRule="auto"/>
        <w:rPr>
          <w:rFonts w:eastAsia="Calibri"/>
        </w:rPr>
      </w:pPr>
      <w:r w:rsidRPr="00905230">
        <w:rPr>
          <w:rFonts w:eastAsia="Calibri"/>
          <w:noProof/>
        </w:rPr>
        <w:drawing>
          <wp:inline distT="0" distB="0" distL="0" distR="0">
            <wp:extent cx="6210935" cy="9297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935" cy="929781"/>
                    </a:xfrm>
                    <a:prstGeom prst="rect">
                      <a:avLst/>
                    </a:prstGeom>
                    <a:noFill/>
                    <a:ln>
                      <a:noFill/>
                    </a:ln>
                  </pic:spPr>
                </pic:pic>
              </a:graphicData>
            </a:graphic>
          </wp:inline>
        </w:drawing>
      </w:r>
    </w:p>
    <w:p w:rsidR="001C18F7" w:rsidRPr="00C979EB" w:rsidRDefault="00905230" w:rsidP="00C979EB">
      <w:pPr>
        <w:spacing w:after="200" w:line="276" w:lineRule="auto"/>
        <w:rPr>
          <w:rFonts w:eastAsia="Calibri"/>
          <w:b/>
          <w:lang w:eastAsia="en-US"/>
        </w:rPr>
      </w:pPr>
      <w:r w:rsidRPr="00905230">
        <w:rPr>
          <w:rFonts w:eastAsia="Calibri"/>
          <w:noProof/>
        </w:rPr>
        <w:drawing>
          <wp:inline distT="0" distB="0" distL="0" distR="0">
            <wp:extent cx="5867400" cy="2103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2103120"/>
                    </a:xfrm>
                    <a:prstGeom prst="rect">
                      <a:avLst/>
                    </a:prstGeom>
                    <a:noFill/>
                    <a:ln>
                      <a:noFill/>
                    </a:ln>
                  </pic:spPr>
                </pic:pic>
              </a:graphicData>
            </a:graphic>
          </wp:inline>
        </w:drawing>
      </w:r>
    </w:p>
    <w:p w:rsidR="001C18F7" w:rsidRDefault="001C18F7" w:rsidP="00F635D4">
      <w:pPr>
        <w:rPr>
          <w:rFonts w:eastAsia="Calibri"/>
          <w:lang w:eastAsia="en-US"/>
        </w:rPr>
      </w:pPr>
    </w:p>
    <w:p w:rsidR="0016792B" w:rsidRDefault="0016792B" w:rsidP="00F635D4">
      <w:pPr>
        <w:rPr>
          <w:rFonts w:eastAsia="Calibri"/>
          <w:sz w:val="20"/>
          <w:szCs w:val="20"/>
          <w:lang w:eastAsia="en-US"/>
        </w:rPr>
      </w:pPr>
      <w:r w:rsidRPr="001C18F7">
        <w:rPr>
          <w:rFonts w:eastAsia="Calibri"/>
          <w:lang w:eastAsia="en-US"/>
        </w:rPr>
        <w:lastRenderedPageBreak/>
        <w:t>No employees received employee benefits (excluding employer pension costs) for the reporting period of more than £60,000</w:t>
      </w:r>
      <w:r w:rsidRPr="0016792B">
        <w:rPr>
          <w:rFonts w:eastAsia="Calibri"/>
          <w:sz w:val="20"/>
          <w:szCs w:val="20"/>
          <w:lang w:eastAsia="en-US"/>
        </w:rPr>
        <w:t>.</w:t>
      </w:r>
    </w:p>
    <w:p w:rsidR="007A3CBC" w:rsidRDefault="007A3CBC" w:rsidP="00F635D4">
      <w:pPr>
        <w:rPr>
          <w:rFonts w:eastAsia="Calibri"/>
          <w:sz w:val="20"/>
          <w:szCs w:val="20"/>
          <w:lang w:eastAsia="en-US"/>
        </w:rPr>
      </w:pPr>
    </w:p>
    <w:p w:rsidR="005B0F56" w:rsidRDefault="007A3CBC">
      <w:pPr>
        <w:spacing w:after="200" w:line="276" w:lineRule="auto"/>
        <w:rPr>
          <w:rFonts w:eastAsia="Calibri"/>
          <w:sz w:val="20"/>
          <w:szCs w:val="20"/>
          <w:lang w:eastAsia="en-US"/>
        </w:rPr>
      </w:pPr>
      <w:r w:rsidRPr="007A3CBC">
        <w:rPr>
          <w:rFonts w:eastAsia="Calibri"/>
          <w:noProof/>
        </w:rPr>
        <w:drawing>
          <wp:inline distT="0" distB="0" distL="0" distR="0">
            <wp:extent cx="5867400" cy="952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7400" cy="952500"/>
                    </a:xfrm>
                    <a:prstGeom prst="rect">
                      <a:avLst/>
                    </a:prstGeom>
                    <a:noFill/>
                    <a:ln>
                      <a:noFill/>
                    </a:ln>
                  </pic:spPr>
                </pic:pic>
              </a:graphicData>
            </a:graphic>
          </wp:inline>
        </w:drawing>
      </w:r>
    </w:p>
    <w:p w:rsidR="007A3CBC" w:rsidRDefault="00C979EB">
      <w:pPr>
        <w:spacing w:after="200" w:line="276" w:lineRule="auto"/>
        <w:rPr>
          <w:rFonts w:eastAsia="Calibri"/>
          <w:sz w:val="20"/>
          <w:szCs w:val="20"/>
          <w:lang w:eastAsia="en-US"/>
        </w:rPr>
      </w:pPr>
      <w:r w:rsidRPr="00C979EB">
        <w:rPr>
          <w:rFonts w:eastAsia="Calibri"/>
          <w:noProof/>
        </w:rPr>
        <w:drawing>
          <wp:inline distT="0" distB="0" distL="0" distR="0">
            <wp:extent cx="6019800" cy="403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4038600"/>
                    </a:xfrm>
                    <a:prstGeom prst="rect">
                      <a:avLst/>
                    </a:prstGeom>
                    <a:noFill/>
                    <a:ln>
                      <a:noFill/>
                    </a:ln>
                  </pic:spPr>
                </pic:pic>
              </a:graphicData>
            </a:graphic>
          </wp:inline>
        </w:drawing>
      </w:r>
    </w:p>
    <w:p w:rsidR="00903F61" w:rsidRDefault="00903F61">
      <w:pPr>
        <w:spacing w:after="200" w:line="276" w:lineRule="auto"/>
        <w:rPr>
          <w:rFonts w:eastAsia="Calibri"/>
          <w:sz w:val="20"/>
          <w:szCs w:val="20"/>
          <w:lang w:eastAsia="en-US"/>
        </w:rPr>
      </w:pPr>
    </w:p>
    <w:p w:rsidR="00903F61" w:rsidRDefault="00FD5B55">
      <w:pPr>
        <w:spacing w:after="200" w:line="276" w:lineRule="auto"/>
        <w:rPr>
          <w:rFonts w:eastAsia="Calibri"/>
          <w:sz w:val="20"/>
          <w:szCs w:val="20"/>
          <w:lang w:eastAsia="en-US"/>
        </w:rPr>
      </w:pPr>
      <w:r w:rsidRPr="00FD5B55">
        <w:rPr>
          <w:rFonts w:eastAsia="Calibri"/>
          <w:noProof/>
        </w:rPr>
        <w:drawing>
          <wp:inline distT="0" distB="0" distL="0" distR="0">
            <wp:extent cx="5288280" cy="17678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280" cy="1767840"/>
                    </a:xfrm>
                    <a:prstGeom prst="rect">
                      <a:avLst/>
                    </a:prstGeom>
                    <a:noFill/>
                    <a:ln>
                      <a:noFill/>
                    </a:ln>
                  </pic:spPr>
                </pic:pic>
              </a:graphicData>
            </a:graphic>
          </wp:inline>
        </w:drawing>
      </w:r>
    </w:p>
    <w:p w:rsidR="00903F61" w:rsidRDefault="00903F61">
      <w:pPr>
        <w:spacing w:after="200" w:line="276" w:lineRule="auto"/>
        <w:rPr>
          <w:rFonts w:eastAsia="Calibri"/>
          <w:sz w:val="20"/>
          <w:szCs w:val="20"/>
          <w:lang w:eastAsia="en-US"/>
        </w:rPr>
      </w:pPr>
    </w:p>
    <w:p w:rsidR="000D7DC3" w:rsidRDefault="000D7DC3">
      <w:pPr>
        <w:spacing w:after="200" w:line="276" w:lineRule="auto"/>
        <w:rPr>
          <w:rFonts w:eastAsia="Calibri"/>
          <w:sz w:val="20"/>
          <w:szCs w:val="20"/>
          <w:lang w:eastAsia="en-US"/>
        </w:rPr>
      </w:pPr>
    </w:p>
    <w:p w:rsidR="000D7DC3" w:rsidRPr="000D7DC3" w:rsidRDefault="000D7DC3" w:rsidP="000D7DC3">
      <w:pPr>
        <w:rPr>
          <w:b/>
          <w:bCs/>
        </w:rPr>
      </w:pPr>
      <w:r w:rsidRPr="000D7DC3">
        <w:rPr>
          <w:b/>
          <w:bCs/>
        </w:rPr>
        <w:lastRenderedPageBreak/>
        <w:t>Note 9                         Creditors and accruals</w:t>
      </w:r>
    </w:p>
    <w:p w:rsidR="000D7DC3" w:rsidRDefault="000D7DC3">
      <w:pPr>
        <w:spacing w:after="200" w:line="276" w:lineRule="auto"/>
        <w:rPr>
          <w:rFonts w:eastAsia="Calibri"/>
          <w:sz w:val="20"/>
          <w:szCs w:val="20"/>
          <w:lang w:eastAsia="en-US"/>
        </w:rPr>
      </w:pPr>
    </w:p>
    <w:p w:rsidR="00906284" w:rsidRDefault="000D7DC3">
      <w:pPr>
        <w:spacing w:after="200" w:line="276" w:lineRule="auto"/>
        <w:rPr>
          <w:rFonts w:eastAsia="Calibri"/>
          <w:sz w:val="20"/>
          <w:szCs w:val="20"/>
          <w:lang w:eastAsia="en-US"/>
        </w:rPr>
      </w:pPr>
      <w:r w:rsidRPr="00906284">
        <w:rPr>
          <w:rFonts w:eastAsia="Calibri"/>
          <w:noProof/>
        </w:rPr>
        <w:drawing>
          <wp:inline distT="0" distB="0" distL="0" distR="0" wp14:anchorId="0240EC1C" wp14:editId="0FAEADCA">
            <wp:extent cx="6172200" cy="2057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2057400"/>
                    </a:xfrm>
                    <a:prstGeom prst="rect">
                      <a:avLst/>
                    </a:prstGeom>
                    <a:noFill/>
                    <a:ln>
                      <a:noFill/>
                    </a:ln>
                  </pic:spPr>
                </pic:pic>
              </a:graphicData>
            </a:graphic>
          </wp:inline>
        </w:drawing>
      </w:r>
    </w:p>
    <w:p w:rsidR="00906284" w:rsidRDefault="000D7DC3">
      <w:pPr>
        <w:spacing w:after="200" w:line="276" w:lineRule="auto"/>
        <w:rPr>
          <w:rFonts w:eastAsia="Calibri"/>
          <w:sz w:val="20"/>
          <w:szCs w:val="20"/>
          <w:lang w:eastAsia="en-US"/>
        </w:rPr>
      </w:pPr>
      <w:r w:rsidRPr="000D7DC3">
        <w:rPr>
          <w:rFonts w:eastAsia="Calibri"/>
          <w:noProof/>
        </w:rPr>
        <w:drawing>
          <wp:inline distT="0" distB="0" distL="0" distR="0">
            <wp:extent cx="5303520" cy="236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3520" cy="2362200"/>
                    </a:xfrm>
                    <a:prstGeom prst="rect">
                      <a:avLst/>
                    </a:prstGeom>
                    <a:noFill/>
                    <a:ln>
                      <a:noFill/>
                    </a:ln>
                  </pic:spPr>
                </pic:pic>
              </a:graphicData>
            </a:graphic>
          </wp:inline>
        </w:drawing>
      </w:r>
    </w:p>
    <w:p w:rsidR="007B0ED6" w:rsidRDefault="00906284">
      <w:pPr>
        <w:spacing w:after="200" w:line="276" w:lineRule="auto"/>
        <w:rPr>
          <w:rFonts w:eastAsia="Calibri"/>
        </w:rPr>
      </w:pPr>
      <w:r w:rsidRPr="00906284">
        <w:rPr>
          <w:rFonts w:eastAsia="Calibri"/>
          <w:noProof/>
        </w:rPr>
        <w:drawing>
          <wp:inline distT="0" distB="0" distL="0" distR="0">
            <wp:extent cx="5646420" cy="1760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6420" cy="1760220"/>
                    </a:xfrm>
                    <a:prstGeom prst="rect">
                      <a:avLst/>
                    </a:prstGeom>
                    <a:noFill/>
                    <a:ln>
                      <a:noFill/>
                    </a:ln>
                  </pic:spPr>
                </pic:pic>
              </a:graphicData>
            </a:graphic>
          </wp:inline>
        </w:drawing>
      </w:r>
      <w:r w:rsidRPr="00906284">
        <w:rPr>
          <w:rFonts w:eastAsia="Calibri"/>
        </w:rPr>
        <w:t xml:space="preserve"> </w:t>
      </w:r>
    </w:p>
    <w:p w:rsidR="007B0ED6" w:rsidRDefault="007B0ED6">
      <w:pPr>
        <w:spacing w:after="200" w:line="276" w:lineRule="auto"/>
        <w:rPr>
          <w:rFonts w:eastAsia="Calibri"/>
          <w:sz w:val="20"/>
          <w:szCs w:val="20"/>
          <w:lang w:eastAsia="en-US"/>
        </w:rPr>
      </w:pPr>
    </w:p>
    <w:p w:rsidR="000D7DC3" w:rsidRDefault="000D7DC3">
      <w:pPr>
        <w:spacing w:after="200" w:line="276" w:lineRule="auto"/>
        <w:rPr>
          <w:rFonts w:eastAsia="Calibri"/>
          <w:sz w:val="20"/>
          <w:szCs w:val="20"/>
          <w:lang w:eastAsia="en-US"/>
        </w:rPr>
      </w:pPr>
    </w:p>
    <w:p w:rsidR="000D7DC3" w:rsidRDefault="000D7DC3">
      <w:pPr>
        <w:spacing w:after="200" w:line="276" w:lineRule="auto"/>
        <w:rPr>
          <w:rFonts w:eastAsia="Calibri"/>
          <w:sz w:val="20"/>
          <w:szCs w:val="20"/>
          <w:lang w:eastAsia="en-US"/>
        </w:rPr>
      </w:pPr>
    </w:p>
    <w:p w:rsidR="000D7DC3" w:rsidRDefault="000D7DC3">
      <w:pPr>
        <w:spacing w:after="200" w:line="276" w:lineRule="auto"/>
        <w:rPr>
          <w:rFonts w:eastAsia="Calibri"/>
          <w:sz w:val="20"/>
          <w:szCs w:val="20"/>
          <w:lang w:eastAsia="en-US"/>
        </w:rPr>
      </w:pPr>
    </w:p>
    <w:p w:rsidR="000D7DC3" w:rsidRDefault="000D7DC3">
      <w:pPr>
        <w:spacing w:after="200" w:line="276" w:lineRule="auto"/>
        <w:rPr>
          <w:rFonts w:eastAsia="Calibri"/>
          <w:sz w:val="20"/>
          <w:szCs w:val="20"/>
          <w:lang w:eastAsia="en-US"/>
        </w:rPr>
      </w:pPr>
    </w:p>
    <w:p w:rsidR="007B0ED6" w:rsidRDefault="007B0ED6">
      <w:pPr>
        <w:spacing w:after="200" w:line="276" w:lineRule="auto"/>
        <w:rPr>
          <w:rFonts w:eastAsia="Calibri"/>
          <w:b/>
          <w:lang w:eastAsia="en-US"/>
        </w:rPr>
      </w:pPr>
      <w:r>
        <w:rPr>
          <w:rFonts w:eastAsia="Calibri"/>
          <w:b/>
          <w:lang w:eastAsia="en-US"/>
        </w:rPr>
        <w:lastRenderedPageBreak/>
        <w:t>Note 11</w:t>
      </w:r>
      <w:r>
        <w:rPr>
          <w:rFonts w:eastAsia="Calibri"/>
          <w:b/>
          <w:lang w:eastAsia="en-US"/>
        </w:rPr>
        <w:tab/>
      </w:r>
      <w:r>
        <w:rPr>
          <w:rFonts w:eastAsia="Calibri"/>
          <w:b/>
          <w:lang w:eastAsia="en-US"/>
        </w:rPr>
        <w:tab/>
        <w:t>Charity funds</w:t>
      </w:r>
    </w:p>
    <w:p w:rsidR="007B0ED6" w:rsidRDefault="007B0ED6">
      <w:pPr>
        <w:spacing w:after="200" w:line="276" w:lineRule="auto"/>
        <w:rPr>
          <w:rFonts w:eastAsia="Calibri"/>
          <w:b/>
          <w:lang w:eastAsia="en-US"/>
        </w:rPr>
      </w:pPr>
      <w:proofErr w:type="gramStart"/>
      <w:r w:rsidRPr="007B0ED6">
        <w:rPr>
          <w:rFonts w:eastAsia="Calibri"/>
          <w:b/>
          <w:lang w:eastAsia="en-US"/>
        </w:rPr>
        <w:t xml:space="preserve">11.1  </w:t>
      </w:r>
      <w:r>
        <w:rPr>
          <w:rFonts w:eastAsia="Calibri"/>
          <w:b/>
          <w:lang w:eastAsia="en-US"/>
        </w:rPr>
        <w:t>Details</w:t>
      </w:r>
      <w:proofErr w:type="gramEnd"/>
      <w:r>
        <w:rPr>
          <w:rFonts w:eastAsia="Calibri"/>
          <w:b/>
          <w:lang w:eastAsia="en-US"/>
        </w:rPr>
        <w:t xml:space="preserve"> of material funds held and movements during the current reporting period</w:t>
      </w:r>
    </w:p>
    <w:p w:rsidR="007B0ED6" w:rsidRDefault="007B0ED6">
      <w:pPr>
        <w:spacing w:after="200" w:line="276" w:lineRule="auto"/>
        <w:rPr>
          <w:rFonts w:eastAsia="Calibri"/>
          <w:i/>
          <w:lang w:eastAsia="en-US"/>
        </w:rPr>
      </w:pPr>
      <w:r>
        <w:rPr>
          <w:rFonts w:eastAsia="Calibri"/>
          <w:i/>
          <w:lang w:eastAsia="en-US"/>
        </w:rPr>
        <w:t xml:space="preserve">Key to type of fund: PE – permanent endowment funds: R – restricted income funds </w:t>
      </w:r>
    </w:p>
    <w:p w:rsidR="00D06301" w:rsidRDefault="002045DF">
      <w:pPr>
        <w:spacing w:after="200" w:line="276" w:lineRule="auto"/>
        <w:rPr>
          <w:rFonts w:eastAsia="Calibri"/>
          <w:b/>
          <w:lang w:eastAsia="en-US"/>
        </w:rPr>
      </w:pPr>
      <w:r w:rsidRPr="002045DF">
        <w:rPr>
          <w:rFonts w:eastAsia="Calibri"/>
          <w:noProof/>
        </w:rPr>
        <w:drawing>
          <wp:inline distT="0" distB="0" distL="0" distR="0">
            <wp:extent cx="6210935" cy="363676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935" cy="3636764"/>
                    </a:xfrm>
                    <a:prstGeom prst="rect">
                      <a:avLst/>
                    </a:prstGeom>
                    <a:noFill/>
                    <a:ln>
                      <a:noFill/>
                    </a:ln>
                  </pic:spPr>
                </pic:pic>
              </a:graphicData>
            </a:graphic>
          </wp:inline>
        </w:drawing>
      </w:r>
    </w:p>
    <w:p w:rsidR="00D06301" w:rsidRDefault="00D06301">
      <w:pPr>
        <w:spacing w:after="200" w:line="276" w:lineRule="auto"/>
        <w:rPr>
          <w:rFonts w:eastAsia="Calibri"/>
          <w:b/>
          <w:lang w:eastAsia="en-US"/>
        </w:rPr>
      </w:pPr>
      <w:proofErr w:type="gramStart"/>
      <w:r>
        <w:rPr>
          <w:rFonts w:eastAsia="Calibri"/>
          <w:b/>
          <w:lang w:eastAsia="en-US"/>
        </w:rPr>
        <w:t>11.2  Transfers</w:t>
      </w:r>
      <w:proofErr w:type="gramEnd"/>
      <w:r>
        <w:rPr>
          <w:rFonts w:eastAsia="Calibri"/>
          <w:b/>
          <w:lang w:eastAsia="en-US"/>
        </w:rPr>
        <w:t xml:space="preserve"> between funds</w:t>
      </w:r>
    </w:p>
    <w:p w:rsidR="000D7DC3" w:rsidRDefault="00D06301">
      <w:pPr>
        <w:spacing w:after="200" w:line="276" w:lineRule="auto"/>
        <w:rPr>
          <w:rFonts w:eastAsia="Calibri"/>
          <w:lang w:eastAsia="en-US"/>
        </w:rPr>
      </w:pPr>
      <w:r w:rsidRPr="00D06301">
        <w:rPr>
          <w:rFonts w:eastAsia="Calibri"/>
          <w:lang w:eastAsia="en-US"/>
        </w:rPr>
        <w:t>The transfer from unrestricted</w:t>
      </w:r>
      <w:r>
        <w:rPr>
          <w:rFonts w:eastAsia="Calibri"/>
          <w:lang w:eastAsia="en-US"/>
        </w:rPr>
        <w:t xml:space="preserve"> to restricted Mission Fund represents the annual tithe donation from the General Fund.</w:t>
      </w:r>
    </w:p>
    <w:p w:rsidR="000D7DC3" w:rsidRDefault="002045DF">
      <w:pPr>
        <w:spacing w:after="200" w:line="276" w:lineRule="auto"/>
        <w:rPr>
          <w:rFonts w:eastAsia="Calibri"/>
          <w:lang w:eastAsia="en-US"/>
        </w:rPr>
      </w:pPr>
      <w:r w:rsidRPr="002045DF">
        <w:rPr>
          <w:rFonts w:eastAsia="Calibri"/>
          <w:noProof/>
        </w:rPr>
        <w:lastRenderedPageBreak/>
        <w:drawing>
          <wp:inline distT="0" distB="0" distL="0" distR="0">
            <wp:extent cx="5311140" cy="3101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1140" cy="3101340"/>
                    </a:xfrm>
                    <a:prstGeom prst="rect">
                      <a:avLst/>
                    </a:prstGeom>
                    <a:noFill/>
                    <a:ln>
                      <a:noFill/>
                    </a:ln>
                  </pic:spPr>
                </pic:pic>
              </a:graphicData>
            </a:graphic>
          </wp:inline>
        </w:drawing>
      </w:r>
    </w:p>
    <w:p w:rsidR="0016792B" w:rsidRPr="00D06301" w:rsidRDefault="0016792B">
      <w:pPr>
        <w:spacing w:after="200" w:line="276" w:lineRule="auto"/>
        <w:rPr>
          <w:rFonts w:eastAsia="Calibri"/>
          <w:lang w:eastAsia="en-US"/>
        </w:rPr>
      </w:pPr>
      <w:r w:rsidRPr="00D06301">
        <w:rPr>
          <w:rFonts w:eastAsia="Calibri"/>
          <w:lang w:eastAsia="en-US"/>
        </w:rPr>
        <w:br w:type="page"/>
      </w:r>
    </w:p>
    <w:p w:rsidR="00C94485" w:rsidRPr="0016792B" w:rsidRDefault="00C94485" w:rsidP="00F635D4">
      <w:pPr>
        <w:rPr>
          <w:rFonts w:eastAsia="Calibri"/>
          <w:sz w:val="20"/>
          <w:szCs w:val="20"/>
          <w:lang w:eastAsia="en-US"/>
        </w:rPr>
      </w:pPr>
    </w:p>
    <w:p w:rsidR="00892B9C" w:rsidRDefault="00892B9C" w:rsidP="00892B9C">
      <w:pPr>
        <w:outlineLvl w:val="0"/>
      </w:pPr>
    </w:p>
    <w:p w:rsidR="00892B9C" w:rsidRPr="00AE1272" w:rsidRDefault="00892B9C" w:rsidP="00892B9C">
      <w:pPr>
        <w:outlineLvl w:val="0"/>
        <w:rPr>
          <w:b/>
          <w:bCs/>
          <w:u w:val="single"/>
        </w:rPr>
      </w:pPr>
      <w:r w:rsidRPr="005A27FA">
        <w:rPr>
          <w:b/>
          <w:bCs/>
          <w:u w:val="single"/>
        </w:rPr>
        <w:t>Statement of the PCC's responsibilities</w:t>
      </w:r>
    </w:p>
    <w:p w:rsidR="00892B9C" w:rsidRDefault="00892B9C" w:rsidP="00892B9C"/>
    <w:p w:rsidR="00892B9C" w:rsidRDefault="00892B9C" w:rsidP="00892B9C">
      <w:pPr>
        <w:pStyle w:val="indent10bl"/>
      </w:pPr>
      <w:r>
        <w:t>Law applicable to charities in England and Wales requires the PCC to prepare financial statements for each financial year which give a true and fair view of the charity's financial activities during the year and of its financial position at the end of the year. In preparing financial statements giving a true and fair view, the PCC are required to:</w:t>
      </w:r>
    </w:p>
    <w:p w:rsidR="00892B9C" w:rsidRDefault="00892B9C" w:rsidP="00892B9C">
      <w:pPr>
        <w:pStyle w:val="indent20"/>
      </w:pPr>
      <w:r>
        <w:t>•    select suitable accounting policies and then apply them consistently;</w:t>
      </w:r>
    </w:p>
    <w:p w:rsidR="00892B9C" w:rsidRDefault="00892B9C" w:rsidP="00892B9C">
      <w:pPr>
        <w:pStyle w:val="indent20"/>
      </w:pPr>
      <w:r>
        <w:t>•    make judgments and estimates that are reasonable and prudent;</w:t>
      </w:r>
    </w:p>
    <w:p w:rsidR="00892B9C" w:rsidRDefault="00892B9C" w:rsidP="00892B9C">
      <w:pPr>
        <w:pStyle w:val="indent20"/>
      </w:pPr>
      <w:r>
        <w:t>•    state whether applicable Accounting Standards and Statements of Recommended Practice have been followed.</w:t>
      </w:r>
    </w:p>
    <w:p w:rsidR="00892B9C" w:rsidRDefault="00892B9C" w:rsidP="00892B9C">
      <w:pPr>
        <w:pStyle w:val="indent20"/>
      </w:pPr>
      <w:r>
        <w:t>•    prepare the financial statements on the going concern basis unless it is inappropriate to presume that the charity will continue in operation.</w:t>
      </w:r>
    </w:p>
    <w:p w:rsidR="00892B9C" w:rsidRDefault="00892B9C" w:rsidP="00892B9C">
      <w:pPr>
        <w:pStyle w:val="indent10bl"/>
      </w:pPr>
      <w:r>
        <w:t>The PCC are responsible for keeping proper accounting records which disclose with reasonable accuracy the financial position of the charity and which enable them to ensure that the financial statements comply with the Charities Act 1993. They are also responsible for safeguarding the assets of the charity and hence for taking reasonable steps for the prevention and detection of fraud and other irregularities.</w:t>
      </w:r>
    </w:p>
    <w:p w:rsidR="00892B9C" w:rsidRDefault="00892B9C" w:rsidP="00892B9C">
      <w:pPr>
        <w:pStyle w:val="indent10bl"/>
      </w:pPr>
    </w:p>
    <w:p w:rsidR="00892B9C" w:rsidRDefault="00892B9C" w:rsidP="00892B9C">
      <w:pPr>
        <w:pStyle w:val="indent10bl"/>
        <w:outlineLvl w:val="0"/>
      </w:pPr>
      <w:r>
        <w:t>Signed on behalf of the PCC of St Peter’s, Hale</w:t>
      </w:r>
    </w:p>
    <w:p w:rsidR="00892B9C" w:rsidRDefault="00892B9C" w:rsidP="00892B9C">
      <w:pPr>
        <w:pStyle w:val="indent10bl"/>
        <w:outlineLvl w:val="0"/>
      </w:pPr>
    </w:p>
    <w:p w:rsidR="00892B9C" w:rsidRDefault="00892B9C" w:rsidP="00892B9C">
      <w:pPr>
        <w:pStyle w:val="indent10bl"/>
        <w:outlineLvl w:val="0"/>
      </w:pPr>
    </w:p>
    <w:p w:rsidR="00892B9C" w:rsidRDefault="00892B9C" w:rsidP="00892B9C">
      <w:pPr>
        <w:pStyle w:val="indent10bl"/>
        <w:outlineLvl w:val="0"/>
      </w:pPr>
      <w:r>
        <w:t xml:space="preserve">Reverend Keith Addenbrooke </w:t>
      </w:r>
      <w:r>
        <w:tab/>
      </w:r>
      <w:r>
        <w:tab/>
      </w:r>
      <w:r>
        <w:tab/>
      </w:r>
      <w:r>
        <w:tab/>
      </w:r>
      <w:r>
        <w:tab/>
        <w:t xml:space="preserve">Date: </w:t>
      </w:r>
    </w:p>
    <w:p w:rsidR="00892B9C" w:rsidRDefault="00892B9C" w:rsidP="00892B9C">
      <w:pPr>
        <w:rPr>
          <w:rFonts w:eastAsia="Calibri"/>
          <w:b/>
          <w:sz w:val="28"/>
          <w:szCs w:val="28"/>
          <w:lang w:eastAsia="en-US"/>
        </w:rPr>
      </w:pPr>
      <w:r>
        <w:t>Chairman</w:t>
      </w:r>
      <w:r w:rsidRPr="002B150D">
        <w:rPr>
          <w:rFonts w:eastAsia="Calibri"/>
          <w:b/>
          <w:sz w:val="28"/>
          <w:szCs w:val="28"/>
          <w:lang w:eastAsia="en-US"/>
        </w:rPr>
        <w:t xml:space="preserve"> </w:t>
      </w:r>
    </w:p>
    <w:p w:rsidR="00892B9C" w:rsidRDefault="00892B9C">
      <w:pPr>
        <w:spacing w:after="200" w:line="276" w:lineRule="auto"/>
        <w:rPr>
          <w:rFonts w:eastAsia="Calibri"/>
          <w:b/>
          <w:sz w:val="28"/>
          <w:szCs w:val="28"/>
          <w:lang w:eastAsia="en-US"/>
        </w:rPr>
      </w:pPr>
      <w:r>
        <w:rPr>
          <w:rFonts w:eastAsia="Calibri"/>
          <w:b/>
          <w:sz w:val="28"/>
          <w:szCs w:val="28"/>
          <w:lang w:eastAsia="en-US"/>
        </w:rPr>
        <w:br w:type="page"/>
      </w:r>
    </w:p>
    <w:p w:rsidR="001C18F7" w:rsidRDefault="001C18F7" w:rsidP="00892B9C">
      <w:pPr>
        <w:rPr>
          <w:rFonts w:eastAsia="Calibri"/>
          <w:b/>
          <w:sz w:val="28"/>
          <w:szCs w:val="28"/>
          <w:lang w:eastAsia="en-US"/>
        </w:rPr>
      </w:pPr>
    </w:p>
    <w:p w:rsidR="00EF5DCD" w:rsidRPr="002B150D" w:rsidRDefault="00EF5DCD" w:rsidP="00892B9C">
      <w:pPr>
        <w:rPr>
          <w:rFonts w:eastAsia="Calibri"/>
          <w:b/>
          <w:sz w:val="36"/>
          <w:szCs w:val="36"/>
          <w:lang w:eastAsia="en-US"/>
        </w:rPr>
      </w:pPr>
      <w:r w:rsidRPr="002B150D">
        <w:rPr>
          <w:rFonts w:eastAsia="Calibri"/>
          <w:b/>
          <w:sz w:val="28"/>
          <w:szCs w:val="28"/>
          <w:lang w:eastAsia="en-US"/>
        </w:rPr>
        <w:t>Independent Examiner</w:t>
      </w:r>
      <w:r w:rsidR="00117402">
        <w:rPr>
          <w:rFonts w:eastAsia="Calibri"/>
          <w:b/>
          <w:sz w:val="28"/>
          <w:szCs w:val="28"/>
          <w:lang w:eastAsia="en-US"/>
        </w:rPr>
        <w:t>’s Report to the T</w:t>
      </w:r>
      <w:r w:rsidRPr="002B150D">
        <w:rPr>
          <w:rFonts w:eastAsia="Calibri"/>
          <w:b/>
          <w:sz w:val="28"/>
          <w:szCs w:val="28"/>
          <w:lang w:eastAsia="en-US"/>
        </w:rPr>
        <w:t>rustees of the Parochial Church Council of the Ecclesiastical Parish of St Peter’s Hale</w:t>
      </w:r>
    </w:p>
    <w:p w:rsidR="00882D90" w:rsidRDefault="00882D90" w:rsidP="00EF5DCD">
      <w:pPr>
        <w:rPr>
          <w:rFonts w:eastAsia="Calibri"/>
          <w:lang w:eastAsia="en-US"/>
        </w:rPr>
      </w:pPr>
      <w:r>
        <w:rPr>
          <w:rFonts w:eastAsia="Calibri"/>
          <w:lang w:eastAsia="en-US"/>
        </w:rPr>
        <w:t>I report on the accounts for the year ended 31</w:t>
      </w:r>
      <w:r w:rsidRPr="00882D90">
        <w:rPr>
          <w:rFonts w:eastAsia="Calibri"/>
          <w:vertAlign w:val="superscript"/>
          <w:lang w:eastAsia="en-US"/>
        </w:rPr>
        <w:t>st</w:t>
      </w:r>
      <w:r>
        <w:rPr>
          <w:rFonts w:eastAsia="Calibri"/>
          <w:lang w:eastAsia="en-US"/>
        </w:rPr>
        <w:t xml:space="preserve"> December 2017, which are set out on pages 9 to 19.</w:t>
      </w:r>
    </w:p>
    <w:p w:rsidR="00882D90" w:rsidRPr="00882D90" w:rsidRDefault="00882D90" w:rsidP="00EF5DCD">
      <w:pPr>
        <w:rPr>
          <w:rFonts w:eastAsia="Calibri"/>
          <w:lang w:eastAsia="en-US"/>
        </w:rPr>
      </w:pPr>
    </w:p>
    <w:p w:rsidR="00EF5DCD" w:rsidRPr="002B150D" w:rsidRDefault="00EF5DCD" w:rsidP="00EF5DCD">
      <w:pPr>
        <w:rPr>
          <w:rFonts w:eastAsia="Calibri"/>
          <w:b/>
          <w:lang w:eastAsia="en-US"/>
        </w:rPr>
      </w:pPr>
      <w:r w:rsidRPr="002B150D">
        <w:rPr>
          <w:rFonts w:eastAsia="Calibri"/>
          <w:b/>
          <w:lang w:eastAsia="en-US"/>
        </w:rPr>
        <w:t>Respective responsibilities of trustees and examiner</w:t>
      </w:r>
    </w:p>
    <w:p w:rsidR="00EF5DCD" w:rsidRPr="002B150D" w:rsidRDefault="00EF5DCD" w:rsidP="00EF5DCD">
      <w:pPr>
        <w:jc w:val="both"/>
        <w:rPr>
          <w:rFonts w:eastAsia="Calibri"/>
          <w:lang w:eastAsia="en-US"/>
        </w:rPr>
      </w:pPr>
      <w:r w:rsidRPr="002B150D">
        <w:rPr>
          <w:rFonts w:eastAsia="Calibri"/>
          <w:lang w:eastAsia="en-US"/>
        </w:rPr>
        <w:t>The charity's trustees are responsible for the preparation of the accounts. The charity’s trustees consider that audit is not required for this year under section 144</w:t>
      </w:r>
      <w:r>
        <w:rPr>
          <w:rFonts w:eastAsia="Calibri"/>
          <w:lang w:eastAsia="en-US"/>
        </w:rPr>
        <w:t xml:space="preserve"> (2)</w:t>
      </w:r>
      <w:r w:rsidRPr="002B150D">
        <w:rPr>
          <w:rFonts w:eastAsia="Calibri"/>
          <w:lang w:eastAsia="en-US"/>
        </w:rPr>
        <w:t xml:space="preserve"> of the Charities Act and that an independent examination is needed.</w:t>
      </w:r>
    </w:p>
    <w:p w:rsidR="00EF5DCD" w:rsidRPr="002B150D" w:rsidRDefault="00EF5DCD" w:rsidP="00EF5DCD">
      <w:pPr>
        <w:jc w:val="both"/>
        <w:rPr>
          <w:rFonts w:eastAsia="Calibri"/>
          <w:lang w:eastAsia="en-US"/>
        </w:rPr>
      </w:pPr>
    </w:p>
    <w:p w:rsidR="00EF5DCD" w:rsidRPr="002B150D" w:rsidRDefault="00EF5DCD" w:rsidP="00EF5DCD">
      <w:pPr>
        <w:rPr>
          <w:rFonts w:eastAsia="Calibri"/>
          <w:lang w:eastAsia="en-US"/>
        </w:rPr>
      </w:pPr>
      <w:r w:rsidRPr="002B150D">
        <w:rPr>
          <w:rFonts w:eastAsia="Calibri"/>
          <w:lang w:eastAsia="en-US"/>
        </w:rPr>
        <w:t>It is my responsibility to:</w:t>
      </w:r>
    </w:p>
    <w:p w:rsidR="00EF5DCD" w:rsidRPr="002B150D" w:rsidRDefault="00EF5DCD" w:rsidP="00EF5DCD">
      <w:pPr>
        <w:numPr>
          <w:ilvl w:val="0"/>
          <w:numId w:val="4"/>
        </w:numPr>
        <w:spacing w:after="200" w:line="276" w:lineRule="auto"/>
        <w:contextualSpacing/>
        <w:rPr>
          <w:rFonts w:eastAsia="Calibri"/>
          <w:lang w:eastAsia="en-US"/>
        </w:rPr>
      </w:pPr>
      <w:r w:rsidRPr="002B150D">
        <w:rPr>
          <w:rFonts w:eastAsia="Calibri"/>
          <w:lang w:eastAsia="en-US"/>
        </w:rPr>
        <w:t>examine the accounts under section 145 of the Charities Act,</w:t>
      </w:r>
    </w:p>
    <w:p w:rsidR="00EF5DCD" w:rsidRPr="002B150D" w:rsidRDefault="00EF5DCD" w:rsidP="00EF5DCD">
      <w:pPr>
        <w:numPr>
          <w:ilvl w:val="0"/>
          <w:numId w:val="4"/>
        </w:numPr>
        <w:spacing w:after="200" w:line="276" w:lineRule="auto"/>
        <w:contextualSpacing/>
        <w:rPr>
          <w:rFonts w:eastAsia="Calibri"/>
          <w:lang w:eastAsia="en-US"/>
        </w:rPr>
      </w:pPr>
      <w:r w:rsidRPr="002B150D">
        <w:rPr>
          <w:rFonts w:eastAsia="Calibri"/>
          <w:lang w:eastAsia="en-US"/>
        </w:rPr>
        <w:t xml:space="preserve">to follow the procedures laid down in the </w:t>
      </w:r>
      <w:r>
        <w:rPr>
          <w:rFonts w:eastAsia="Calibri"/>
          <w:lang w:eastAsia="en-US"/>
        </w:rPr>
        <w:t>Ge</w:t>
      </w:r>
      <w:r w:rsidRPr="002B150D">
        <w:rPr>
          <w:rFonts w:eastAsia="Calibri"/>
          <w:lang w:eastAsia="en-US"/>
        </w:rPr>
        <w:t>neral Directions given by the Charity Commission under section 145(5) of the Charities Act, and</w:t>
      </w:r>
    </w:p>
    <w:p w:rsidR="00EF5DCD" w:rsidRPr="002B150D" w:rsidRDefault="00EF5DCD" w:rsidP="00EF5DCD">
      <w:pPr>
        <w:numPr>
          <w:ilvl w:val="0"/>
          <w:numId w:val="4"/>
        </w:numPr>
        <w:spacing w:after="200" w:line="276" w:lineRule="auto"/>
        <w:contextualSpacing/>
        <w:rPr>
          <w:rFonts w:eastAsia="Calibri"/>
          <w:lang w:eastAsia="en-US"/>
        </w:rPr>
      </w:pPr>
      <w:r w:rsidRPr="002B150D">
        <w:rPr>
          <w:rFonts w:eastAsia="Calibri"/>
          <w:lang w:eastAsia="en-US"/>
        </w:rPr>
        <w:t xml:space="preserve">to state whether </w:t>
      </w:r>
      <w:proofErr w:type="gramStart"/>
      <w:r w:rsidRPr="002B150D">
        <w:rPr>
          <w:rFonts w:eastAsia="Calibri"/>
          <w:lang w:eastAsia="en-US"/>
        </w:rPr>
        <w:t>particular matters</w:t>
      </w:r>
      <w:proofErr w:type="gramEnd"/>
      <w:r w:rsidRPr="002B150D">
        <w:rPr>
          <w:rFonts w:eastAsia="Calibri"/>
          <w:lang w:eastAsia="en-US"/>
        </w:rPr>
        <w:t xml:space="preserve"> have come to my attention.</w:t>
      </w:r>
    </w:p>
    <w:p w:rsidR="00EF5DCD" w:rsidRPr="002B150D" w:rsidRDefault="00EF5DCD" w:rsidP="00EF5DCD">
      <w:pPr>
        <w:ind w:left="780"/>
        <w:contextualSpacing/>
        <w:rPr>
          <w:rFonts w:eastAsia="Calibri"/>
          <w:lang w:eastAsia="en-US"/>
        </w:rPr>
      </w:pPr>
    </w:p>
    <w:p w:rsidR="00EF5DCD" w:rsidRPr="002B150D" w:rsidRDefault="00EF5DCD" w:rsidP="00EF5DCD">
      <w:pPr>
        <w:rPr>
          <w:rFonts w:eastAsia="Calibri"/>
          <w:b/>
          <w:lang w:eastAsia="en-US"/>
        </w:rPr>
      </w:pPr>
      <w:r w:rsidRPr="002B150D">
        <w:rPr>
          <w:rFonts w:eastAsia="Calibri"/>
          <w:b/>
          <w:lang w:eastAsia="en-US"/>
        </w:rPr>
        <w:t>Basis of independent examiner’s statement</w:t>
      </w:r>
    </w:p>
    <w:p w:rsidR="00EF5DCD" w:rsidRPr="002B150D" w:rsidRDefault="00EF5DCD" w:rsidP="00EF5DCD">
      <w:pPr>
        <w:jc w:val="both"/>
        <w:rPr>
          <w:rFonts w:eastAsia="Calibri"/>
          <w:lang w:eastAsia="en-US"/>
        </w:rPr>
      </w:pPr>
      <w:r w:rsidRPr="002B150D">
        <w:rPr>
          <w:rFonts w:eastAsia="Calibri"/>
          <w:lang w:eastAsia="en-US"/>
        </w:rPr>
        <w:t xml:space="preserve">My examination was carried out in accordance with </w:t>
      </w:r>
      <w:r>
        <w:rPr>
          <w:rFonts w:eastAsia="Calibri"/>
          <w:lang w:eastAsia="en-US"/>
        </w:rPr>
        <w:t>G</w:t>
      </w:r>
      <w:r w:rsidRPr="002B150D">
        <w:rPr>
          <w:rFonts w:eastAsia="Calibri"/>
          <w:lang w:eastAsia="en-US"/>
        </w:rPr>
        <w:t xml:space="preserve">eneral Directions given by the Charity Commission. An examination includes a review of the accounting records kept by the charity and a comparison of the accounts presented with those records. It also includes consideration of any unusual items or disclosures in the </w:t>
      </w:r>
      <w:proofErr w:type="gramStart"/>
      <w:r w:rsidRPr="002B150D">
        <w:rPr>
          <w:rFonts w:eastAsia="Calibri"/>
          <w:lang w:eastAsia="en-US"/>
        </w:rPr>
        <w:t>accounts, and</w:t>
      </w:r>
      <w:proofErr w:type="gramEnd"/>
      <w:r w:rsidRPr="002B150D">
        <w:rPr>
          <w:rFonts w:eastAsia="Calibri"/>
          <w:lang w:eastAsia="en-US"/>
        </w:rPr>
        <w:t xml:space="preserve"> seeking explanations from the trustees concerning any such matters. The procedures undertaken do not provide all the evidence that would be required in an audit, and consequently no opinion is given as to whether the accounts present a ‘true and fair’ view and the report is limited to those matters set out in the statement below.</w:t>
      </w:r>
    </w:p>
    <w:p w:rsidR="00EF5DCD" w:rsidRPr="002B150D" w:rsidRDefault="00EF5DCD" w:rsidP="00EF5DCD">
      <w:pPr>
        <w:jc w:val="both"/>
        <w:rPr>
          <w:rFonts w:eastAsia="Calibri"/>
          <w:lang w:eastAsia="en-US"/>
        </w:rPr>
      </w:pPr>
    </w:p>
    <w:p w:rsidR="00EF5DCD" w:rsidRPr="002B150D" w:rsidRDefault="00EF5DCD" w:rsidP="00EF5DCD">
      <w:pPr>
        <w:rPr>
          <w:rFonts w:eastAsia="Calibri"/>
          <w:b/>
          <w:lang w:eastAsia="en-US"/>
        </w:rPr>
      </w:pPr>
      <w:r w:rsidRPr="002B150D">
        <w:rPr>
          <w:rFonts w:eastAsia="Calibri"/>
          <w:b/>
          <w:lang w:eastAsia="en-US"/>
        </w:rPr>
        <w:t>Independent examiner's statement</w:t>
      </w:r>
    </w:p>
    <w:p w:rsidR="00EF5DCD" w:rsidRPr="002B150D" w:rsidRDefault="00EF5DCD" w:rsidP="00EF5DCD">
      <w:pPr>
        <w:rPr>
          <w:rFonts w:eastAsia="Calibri"/>
          <w:lang w:eastAsia="en-US"/>
        </w:rPr>
      </w:pPr>
      <w:r w:rsidRPr="002B150D">
        <w:rPr>
          <w:rFonts w:eastAsia="Calibri"/>
          <w:lang w:eastAsia="en-US"/>
        </w:rPr>
        <w:t>In connection with my examination, no matter has come to my attention</w:t>
      </w:r>
    </w:p>
    <w:p w:rsidR="00EF5DCD" w:rsidRPr="002B150D" w:rsidRDefault="00EF5DCD" w:rsidP="00EF5DCD">
      <w:pPr>
        <w:numPr>
          <w:ilvl w:val="0"/>
          <w:numId w:val="5"/>
        </w:numPr>
        <w:spacing w:after="200" w:line="276" w:lineRule="auto"/>
        <w:contextualSpacing/>
        <w:jc w:val="both"/>
        <w:rPr>
          <w:rFonts w:eastAsia="Calibri"/>
          <w:lang w:eastAsia="en-US"/>
        </w:rPr>
      </w:pPr>
      <w:r w:rsidRPr="002B150D">
        <w:rPr>
          <w:rFonts w:eastAsia="Calibri"/>
          <w:lang w:eastAsia="en-US"/>
        </w:rPr>
        <w:t>which gives me reasonable cause to believe that in, any material respect, the requirements:</w:t>
      </w:r>
    </w:p>
    <w:p w:rsidR="00EF5DCD" w:rsidRPr="002B150D" w:rsidRDefault="00EF5DCD" w:rsidP="00EF5DCD">
      <w:pPr>
        <w:numPr>
          <w:ilvl w:val="1"/>
          <w:numId w:val="5"/>
        </w:numPr>
        <w:spacing w:after="200" w:line="276" w:lineRule="auto"/>
        <w:contextualSpacing/>
        <w:jc w:val="both"/>
        <w:rPr>
          <w:rFonts w:eastAsia="Calibri"/>
          <w:lang w:eastAsia="en-US"/>
        </w:rPr>
      </w:pPr>
      <w:r w:rsidRPr="002B150D">
        <w:rPr>
          <w:rFonts w:eastAsia="Calibri"/>
          <w:lang w:eastAsia="en-US"/>
        </w:rPr>
        <w:t>to keep accounting records in accordance with section 130 of the Charities Act; and</w:t>
      </w:r>
    </w:p>
    <w:p w:rsidR="00EF5DCD" w:rsidRPr="004538F6" w:rsidRDefault="00EF5DCD" w:rsidP="00EF5DCD">
      <w:pPr>
        <w:numPr>
          <w:ilvl w:val="1"/>
          <w:numId w:val="5"/>
        </w:numPr>
        <w:spacing w:after="200" w:line="276" w:lineRule="auto"/>
        <w:contextualSpacing/>
        <w:jc w:val="both"/>
        <w:rPr>
          <w:rFonts w:eastAsia="Calibri"/>
          <w:lang w:eastAsia="en-US"/>
        </w:rPr>
      </w:pPr>
      <w:r w:rsidRPr="002B150D">
        <w:rPr>
          <w:rFonts w:eastAsia="Calibri"/>
          <w:lang w:eastAsia="en-US"/>
        </w:rPr>
        <w:t>to prepare accounts which accord with the accounting records and comply with the accounting requirements of the Charities Act</w:t>
      </w:r>
      <w:r>
        <w:rPr>
          <w:rFonts w:eastAsia="Calibri"/>
          <w:lang w:eastAsia="en-US"/>
        </w:rPr>
        <w:t xml:space="preserve"> </w:t>
      </w:r>
      <w:r w:rsidRPr="004538F6">
        <w:rPr>
          <w:rFonts w:eastAsia="Calibri"/>
          <w:lang w:eastAsia="en-US"/>
        </w:rPr>
        <w:t>have not been met; or</w:t>
      </w:r>
    </w:p>
    <w:p w:rsidR="00EF5DCD" w:rsidRPr="002B150D" w:rsidRDefault="00EF5DCD" w:rsidP="00EF5DCD">
      <w:pPr>
        <w:numPr>
          <w:ilvl w:val="0"/>
          <w:numId w:val="5"/>
        </w:numPr>
        <w:spacing w:after="200" w:line="276" w:lineRule="auto"/>
        <w:contextualSpacing/>
        <w:jc w:val="both"/>
        <w:rPr>
          <w:rFonts w:eastAsia="Calibri"/>
          <w:lang w:eastAsia="en-US"/>
        </w:rPr>
      </w:pPr>
      <w:r w:rsidRPr="002B150D">
        <w:rPr>
          <w:rFonts w:eastAsia="Calibri"/>
          <w:lang w:eastAsia="en-US"/>
        </w:rPr>
        <w:t xml:space="preserve">to which, in my opinion, attention should be drawn </w:t>
      </w:r>
      <w:proofErr w:type="gramStart"/>
      <w:r w:rsidRPr="002B150D">
        <w:rPr>
          <w:rFonts w:eastAsia="Calibri"/>
          <w:lang w:eastAsia="en-US"/>
        </w:rPr>
        <w:t>in order to</w:t>
      </w:r>
      <w:proofErr w:type="gramEnd"/>
      <w:r w:rsidRPr="002B150D">
        <w:rPr>
          <w:rFonts w:eastAsia="Calibri"/>
          <w:lang w:eastAsia="en-US"/>
        </w:rPr>
        <w:t xml:space="preserve"> enable a proper understanding of the accounts to be reached.</w:t>
      </w:r>
    </w:p>
    <w:p w:rsidR="00EF5DCD" w:rsidRPr="002B150D" w:rsidRDefault="00EF5DCD" w:rsidP="00EF5DCD">
      <w:pPr>
        <w:rPr>
          <w:rFonts w:eastAsia="Calibri"/>
          <w:lang w:eastAsia="en-US"/>
        </w:rPr>
      </w:pPr>
    </w:p>
    <w:p w:rsidR="00EF5DCD" w:rsidRPr="002B150D" w:rsidRDefault="00EF5DCD" w:rsidP="00EF5DCD">
      <w:pPr>
        <w:rPr>
          <w:rFonts w:eastAsia="Calibri"/>
          <w:lang w:eastAsia="en-US"/>
        </w:rPr>
      </w:pPr>
    </w:p>
    <w:p w:rsidR="00EF5DCD" w:rsidRPr="002B150D" w:rsidRDefault="00EF5DCD" w:rsidP="00EF5DCD">
      <w:pPr>
        <w:rPr>
          <w:rFonts w:eastAsia="Calibri"/>
          <w:lang w:eastAsia="en-US"/>
        </w:rPr>
      </w:pPr>
    </w:p>
    <w:p w:rsidR="00EF5DCD" w:rsidRPr="002B150D" w:rsidRDefault="00EF5DCD" w:rsidP="00EF5DCD">
      <w:pPr>
        <w:rPr>
          <w:rFonts w:eastAsia="Calibri"/>
          <w:lang w:eastAsia="en-US"/>
        </w:rPr>
      </w:pPr>
    </w:p>
    <w:p w:rsidR="00EF5DCD" w:rsidRPr="002B150D" w:rsidRDefault="00EF5DCD" w:rsidP="00EF5DCD">
      <w:pPr>
        <w:rPr>
          <w:rFonts w:eastAsia="Calibri"/>
          <w:lang w:eastAsia="en-US"/>
        </w:rPr>
      </w:pPr>
      <w:r w:rsidRPr="002B150D">
        <w:rPr>
          <w:rFonts w:eastAsia="Calibri"/>
          <w:b/>
          <w:lang w:eastAsia="en-US"/>
        </w:rPr>
        <w:t xml:space="preserve">Michael </w:t>
      </w:r>
      <w:proofErr w:type="spellStart"/>
      <w:r w:rsidRPr="002B150D">
        <w:rPr>
          <w:rFonts w:eastAsia="Calibri"/>
          <w:b/>
          <w:lang w:eastAsia="en-US"/>
        </w:rPr>
        <w:t>Wasinski</w:t>
      </w:r>
      <w:proofErr w:type="spellEnd"/>
      <w:r w:rsidRPr="002B150D">
        <w:rPr>
          <w:rFonts w:eastAsia="Calibri"/>
          <w:b/>
          <w:lang w:eastAsia="en-US"/>
        </w:rPr>
        <w:t xml:space="preserve"> FCA</w:t>
      </w:r>
      <w:r w:rsidRPr="002B150D">
        <w:rPr>
          <w:rFonts w:eastAsia="Calibri"/>
          <w:b/>
          <w:lang w:eastAsia="en-US"/>
        </w:rPr>
        <w:tab/>
      </w:r>
      <w:r w:rsidRPr="002B150D">
        <w:rPr>
          <w:rFonts w:eastAsia="Calibri"/>
          <w:b/>
          <w:lang w:eastAsia="en-US"/>
        </w:rPr>
        <w:tab/>
      </w:r>
      <w:r w:rsidRPr="002B150D">
        <w:rPr>
          <w:rFonts w:eastAsia="Calibri"/>
          <w:b/>
          <w:lang w:eastAsia="en-US"/>
        </w:rPr>
        <w:tab/>
      </w:r>
      <w:r w:rsidRPr="002B150D">
        <w:rPr>
          <w:rFonts w:eastAsia="Calibri"/>
          <w:b/>
          <w:lang w:eastAsia="en-US"/>
        </w:rPr>
        <w:tab/>
      </w:r>
      <w:r w:rsidRPr="002B150D">
        <w:rPr>
          <w:rFonts w:eastAsia="Calibri"/>
          <w:b/>
          <w:lang w:eastAsia="en-US"/>
        </w:rPr>
        <w:tab/>
      </w:r>
      <w:r w:rsidRPr="002B150D">
        <w:rPr>
          <w:rFonts w:eastAsia="Calibri"/>
          <w:b/>
          <w:lang w:eastAsia="en-US"/>
        </w:rPr>
        <w:tab/>
      </w:r>
      <w:r w:rsidRPr="002B150D">
        <w:rPr>
          <w:rFonts w:eastAsia="Calibri"/>
          <w:b/>
          <w:lang w:eastAsia="en-US"/>
        </w:rPr>
        <w:tab/>
      </w:r>
    </w:p>
    <w:p w:rsidR="00EF5DCD" w:rsidRPr="002B150D" w:rsidRDefault="00EF5DCD" w:rsidP="00EF5DCD">
      <w:pPr>
        <w:rPr>
          <w:rFonts w:eastAsia="Calibri"/>
          <w:lang w:eastAsia="en-US"/>
        </w:rPr>
      </w:pPr>
      <w:r w:rsidRPr="002B150D">
        <w:rPr>
          <w:rFonts w:eastAsia="Calibri"/>
          <w:lang w:eastAsia="en-US"/>
        </w:rPr>
        <w:t>UHY Hacker Young Manchester LLP</w:t>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t>St James Building</w:t>
      </w:r>
    </w:p>
    <w:p w:rsidR="00EF5DCD" w:rsidRPr="002B150D" w:rsidRDefault="00EF5DCD" w:rsidP="00EF5DCD">
      <w:pPr>
        <w:rPr>
          <w:rFonts w:eastAsia="Calibri"/>
          <w:lang w:eastAsia="en-US"/>
        </w:rPr>
      </w:pPr>
      <w:r w:rsidRPr="002B150D">
        <w:rPr>
          <w:rFonts w:eastAsia="Calibri"/>
          <w:lang w:eastAsia="en-US"/>
        </w:rPr>
        <w:t>Chartered Accountants</w:t>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t>79 Oxford Street</w:t>
      </w:r>
      <w:r>
        <w:rPr>
          <w:rFonts w:eastAsia="Calibri"/>
          <w:lang w:eastAsia="en-US"/>
        </w:rPr>
        <w:tab/>
      </w:r>
      <w:r>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Pr>
          <w:rFonts w:eastAsia="Calibri"/>
          <w:lang w:eastAsia="en-US"/>
        </w:rPr>
        <w:tab/>
      </w:r>
      <w:r>
        <w:rPr>
          <w:rFonts w:eastAsia="Calibri"/>
          <w:lang w:eastAsia="en-US"/>
        </w:rPr>
        <w:tab/>
      </w:r>
      <w:r>
        <w:rPr>
          <w:rFonts w:eastAsia="Calibri"/>
          <w:lang w:eastAsia="en-US"/>
        </w:rPr>
        <w:tab/>
      </w:r>
      <w:r w:rsidRPr="002B150D">
        <w:rPr>
          <w:rFonts w:eastAsia="Calibri"/>
          <w:lang w:eastAsia="en-US"/>
        </w:rPr>
        <w:t>Manchester</w:t>
      </w:r>
    </w:p>
    <w:p w:rsidR="00EF5DCD" w:rsidRPr="00C54935" w:rsidRDefault="00EF5DCD" w:rsidP="00EF5DCD">
      <w:pPr>
        <w:rPr>
          <w:rFonts w:eastAsia="Calibri"/>
          <w:lang w:eastAsia="en-US"/>
        </w:rPr>
      </w:pP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r>
      <w:r w:rsidRPr="002B150D">
        <w:rPr>
          <w:rFonts w:eastAsia="Calibri"/>
          <w:lang w:eastAsia="en-US"/>
        </w:rPr>
        <w:tab/>
        <w:t>M1 6HT</w:t>
      </w:r>
    </w:p>
    <w:p w:rsidR="00D81DD5" w:rsidRDefault="00D81DD5" w:rsidP="007A24E9">
      <w:pPr>
        <w:jc w:val="both"/>
      </w:pPr>
    </w:p>
    <w:p w:rsidR="00D81DD5" w:rsidRDefault="00D81DD5" w:rsidP="007A24E9">
      <w:pPr>
        <w:jc w:val="both"/>
      </w:pPr>
    </w:p>
    <w:p w:rsidR="00D81DD5" w:rsidRPr="001B0121" w:rsidRDefault="00D81DD5" w:rsidP="007A24E9">
      <w:pPr>
        <w:jc w:val="both"/>
      </w:pPr>
    </w:p>
    <w:sectPr w:rsidR="00D81DD5" w:rsidRPr="001B0121" w:rsidSect="001C18F7">
      <w:headerReference w:type="default" r:id="rId25"/>
      <w:pgSz w:w="11906" w:h="16838"/>
      <w:pgMar w:top="1291"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D7" w:rsidRDefault="00B250D7" w:rsidP="007E4619">
      <w:r>
        <w:separator/>
      </w:r>
    </w:p>
  </w:endnote>
  <w:endnote w:type="continuationSeparator" w:id="0">
    <w:p w:rsidR="00B250D7" w:rsidRDefault="00B250D7" w:rsidP="007E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059962"/>
      <w:docPartObj>
        <w:docPartGallery w:val="Page Numbers (Bottom of Page)"/>
        <w:docPartUnique/>
      </w:docPartObj>
    </w:sdtPr>
    <w:sdtEndPr>
      <w:rPr>
        <w:noProof/>
      </w:rPr>
    </w:sdtEndPr>
    <w:sdtContent>
      <w:p w:rsidR="00A601CF" w:rsidRDefault="00A601CF" w:rsidP="006B4108">
        <w:pPr>
          <w:pStyle w:val="Footer"/>
          <w:jc w:val="center"/>
        </w:pPr>
        <w:r>
          <w:fldChar w:fldCharType="begin"/>
        </w:r>
        <w:r>
          <w:instrText xml:space="preserve"> PAGE   \* MERGEFORMAT </w:instrText>
        </w:r>
        <w:r>
          <w:fldChar w:fldCharType="separate"/>
        </w:r>
        <w:r w:rsidR="00502B03">
          <w:rPr>
            <w:noProof/>
          </w:rPr>
          <w:t>9</w:t>
        </w:r>
        <w:r>
          <w:rPr>
            <w:noProof/>
          </w:rPr>
          <w:fldChar w:fldCharType="end"/>
        </w:r>
      </w:p>
    </w:sdtContent>
  </w:sdt>
  <w:p w:rsidR="00A601CF" w:rsidRPr="0070218F" w:rsidRDefault="00A601CF" w:rsidP="00A02D9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D7" w:rsidRDefault="00B250D7" w:rsidP="007E4619">
      <w:r>
        <w:separator/>
      </w:r>
    </w:p>
  </w:footnote>
  <w:footnote w:type="continuationSeparator" w:id="0">
    <w:p w:rsidR="00B250D7" w:rsidRDefault="00B250D7" w:rsidP="007E4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CF" w:rsidRDefault="00A601CF">
    <w:pPr>
      <w:pStyle w:val="Header"/>
    </w:pPr>
    <w:r>
      <w:rPr>
        <w:noProof/>
      </w:rPr>
      <w:drawing>
        <wp:inline distT="0" distB="0" distL="0" distR="0" wp14:anchorId="4FC2D395" wp14:editId="003BE7A1">
          <wp:extent cx="1038225" cy="361950"/>
          <wp:effectExtent l="0" t="0" r="9525" b="0"/>
          <wp:docPr id="3" name="Picture 3" descr="Diocese of Chester C of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of Chester C of 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61950"/>
                  </a:xfrm>
                  <a:prstGeom prst="rect">
                    <a:avLst/>
                  </a:prstGeom>
                  <a:noFill/>
                  <a:ln>
                    <a:noFill/>
                  </a:ln>
                </pic:spPr>
              </pic:pic>
            </a:graphicData>
          </a:graphic>
        </wp:inline>
      </w:drawing>
    </w:r>
    <w:r w:rsidR="00B250D7">
      <w:rPr>
        <w:noProof/>
      </w:rPr>
      <w:pict>
        <v:shapetype id="_x0000_t202" coordsize="21600,21600" o:spt="202" path="m,l,21600r21600,l21600,xe">
          <v:stroke joinstyle="miter"/>
          <v:path gradientshapeok="t" o:connecttype="rect"/>
        </v:shapetype>
        <v:shape id="_x0000_s2049" type="#_x0000_t202" style="position:absolute;margin-left:315pt;margin-top:-5.75pt;width:162.05pt;height:38.35pt;z-index:251660288;mso-wrap-style:none;mso-position-horizontal-relative:text;mso-position-vertical-relative:text" stroked="f">
          <v:textbox style="mso-next-textbox:#_x0000_s2049;mso-fit-shape-to-text:t">
            <w:txbxContent>
              <w:p w:rsidR="00A601CF" w:rsidRDefault="00B250D7" w:rsidP="00A02D9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31.2pt">
                      <v:imagedata r:id="rId2" o:title="St Peter's Hale logo blue on white" croptop="28752f" cropbottom="18354f" cropright="2431f"/>
                    </v:shape>
                  </w:pict>
                </w:r>
              </w:p>
            </w:txbxContent>
          </v:textbox>
          <w10:wrap type="square"/>
        </v:shape>
      </w:pict>
    </w:r>
  </w:p>
  <w:p w:rsidR="00A601CF" w:rsidRDefault="00A6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CF" w:rsidRDefault="00A601CF" w:rsidP="00BA476D">
    <w:pPr>
      <w:pStyle w:val="Header"/>
      <w:jc w:val="center"/>
    </w:pPr>
    <w:r>
      <w:t>PAROCHIAL CHURCH COUNCIL OF HALE ST PETER</w:t>
    </w:r>
  </w:p>
  <w:p w:rsidR="00A601CF" w:rsidRDefault="00A601CF" w:rsidP="00BA476D">
    <w:pPr>
      <w:pStyle w:val="Header"/>
      <w:jc w:val="center"/>
    </w:pPr>
    <w:r>
      <w:t>Charity no.113053</w:t>
    </w:r>
  </w:p>
  <w:p w:rsidR="00A601CF" w:rsidRDefault="00A601CF" w:rsidP="00BA476D">
    <w:pPr>
      <w:pStyle w:val="Header"/>
      <w:jc w:val="center"/>
    </w:pPr>
    <w:r>
      <w:t>Accounts for the year ended 31</w:t>
    </w:r>
    <w:r w:rsidRPr="00890FF9">
      <w:rPr>
        <w:vertAlign w:val="superscript"/>
      </w:rPr>
      <w:t>st</w:t>
    </w:r>
    <w:r>
      <w:t xml:space="preserve"> December 2017</w:t>
    </w:r>
  </w:p>
  <w:p w:rsidR="00A601CF" w:rsidRDefault="00A601CF" w:rsidP="00BA47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922"/>
    <w:multiLevelType w:val="hybridMultilevel"/>
    <w:tmpl w:val="F822B0DA"/>
    <w:lvl w:ilvl="0" w:tplc="EABCC76E">
      <w:start w:val="1"/>
      <w:numFmt w:val="bullet"/>
      <w:lvlText w:val=""/>
      <w:lvlJc w:val="left"/>
      <w:pPr>
        <w:tabs>
          <w:tab w:val="num" w:pos="1080"/>
        </w:tabs>
        <w:ind w:left="1080" w:hanging="360"/>
      </w:pPr>
      <w:rPr>
        <w:rFonts w:ascii="Symbol" w:hAnsi="Symbol" w:hint="default"/>
        <w:b/>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95C63"/>
    <w:multiLevelType w:val="hybridMultilevel"/>
    <w:tmpl w:val="091E22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B478EC"/>
    <w:multiLevelType w:val="hybridMultilevel"/>
    <w:tmpl w:val="5B5A2500"/>
    <w:lvl w:ilvl="0" w:tplc="372280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E547FC"/>
    <w:multiLevelType w:val="hybridMultilevel"/>
    <w:tmpl w:val="C4A8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945A3A"/>
    <w:multiLevelType w:val="hybridMultilevel"/>
    <w:tmpl w:val="DADA8D34"/>
    <w:lvl w:ilvl="0" w:tplc="A93AA8D0">
      <w:start w:val="1"/>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46E63B71"/>
    <w:multiLevelType w:val="hybridMultilevel"/>
    <w:tmpl w:val="788AC700"/>
    <w:lvl w:ilvl="0" w:tplc="EAE4E5F0">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01F63"/>
    <w:multiLevelType w:val="hybridMultilevel"/>
    <w:tmpl w:val="AA342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10528BF"/>
    <w:multiLevelType w:val="hybridMultilevel"/>
    <w:tmpl w:val="BBEE4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3C4"/>
    <w:rsid w:val="00000F4C"/>
    <w:rsid w:val="000036AB"/>
    <w:rsid w:val="000075A6"/>
    <w:rsid w:val="00017857"/>
    <w:rsid w:val="00022E38"/>
    <w:rsid w:val="00026353"/>
    <w:rsid w:val="000321B7"/>
    <w:rsid w:val="000353F1"/>
    <w:rsid w:val="0005422A"/>
    <w:rsid w:val="000635AE"/>
    <w:rsid w:val="00070F16"/>
    <w:rsid w:val="00075A75"/>
    <w:rsid w:val="0007689B"/>
    <w:rsid w:val="000819AB"/>
    <w:rsid w:val="0008222D"/>
    <w:rsid w:val="00082CA8"/>
    <w:rsid w:val="00085597"/>
    <w:rsid w:val="00086355"/>
    <w:rsid w:val="000904AB"/>
    <w:rsid w:val="000B14FB"/>
    <w:rsid w:val="000B6B35"/>
    <w:rsid w:val="000C0022"/>
    <w:rsid w:val="000C422E"/>
    <w:rsid w:val="000D51ED"/>
    <w:rsid w:val="000D7DC3"/>
    <w:rsid w:val="000E3053"/>
    <w:rsid w:val="000E50AE"/>
    <w:rsid w:val="000F0D5D"/>
    <w:rsid w:val="000F76D6"/>
    <w:rsid w:val="00101FCF"/>
    <w:rsid w:val="00104713"/>
    <w:rsid w:val="001119D7"/>
    <w:rsid w:val="00114092"/>
    <w:rsid w:val="00117402"/>
    <w:rsid w:val="00120F9F"/>
    <w:rsid w:val="00125E96"/>
    <w:rsid w:val="00126404"/>
    <w:rsid w:val="001324DF"/>
    <w:rsid w:val="001513E3"/>
    <w:rsid w:val="00153F7D"/>
    <w:rsid w:val="0016792B"/>
    <w:rsid w:val="0017636A"/>
    <w:rsid w:val="00177416"/>
    <w:rsid w:val="00184819"/>
    <w:rsid w:val="00194068"/>
    <w:rsid w:val="0019478A"/>
    <w:rsid w:val="00196669"/>
    <w:rsid w:val="001A2E0F"/>
    <w:rsid w:val="001A42D8"/>
    <w:rsid w:val="001B0121"/>
    <w:rsid w:val="001C1077"/>
    <w:rsid w:val="001C18F7"/>
    <w:rsid w:val="001C2B6F"/>
    <w:rsid w:val="001D1E02"/>
    <w:rsid w:val="001D45F2"/>
    <w:rsid w:val="002045DF"/>
    <w:rsid w:val="00211746"/>
    <w:rsid w:val="00213B9C"/>
    <w:rsid w:val="00215C0D"/>
    <w:rsid w:val="00231077"/>
    <w:rsid w:val="002355F1"/>
    <w:rsid w:val="002465B1"/>
    <w:rsid w:val="0025040A"/>
    <w:rsid w:val="002523B4"/>
    <w:rsid w:val="00253829"/>
    <w:rsid w:val="002654C8"/>
    <w:rsid w:val="00265D8C"/>
    <w:rsid w:val="00272427"/>
    <w:rsid w:val="00277970"/>
    <w:rsid w:val="002942EF"/>
    <w:rsid w:val="002B0D64"/>
    <w:rsid w:val="002B384D"/>
    <w:rsid w:val="002B4931"/>
    <w:rsid w:val="002C0CE9"/>
    <w:rsid w:val="002D020B"/>
    <w:rsid w:val="002D0327"/>
    <w:rsid w:val="002D1E3A"/>
    <w:rsid w:val="002D6192"/>
    <w:rsid w:val="002F2362"/>
    <w:rsid w:val="00307CBD"/>
    <w:rsid w:val="00316290"/>
    <w:rsid w:val="00325E06"/>
    <w:rsid w:val="00353124"/>
    <w:rsid w:val="00372B4B"/>
    <w:rsid w:val="003759D6"/>
    <w:rsid w:val="0037747D"/>
    <w:rsid w:val="00380BF9"/>
    <w:rsid w:val="00380C8F"/>
    <w:rsid w:val="00381A3E"/>
    <w:rsid w:val="00394D61"/>
    <w:rsid w:val="003959EF"/>
    <w:rsid w:val="003A2C29"/>
    <w:rsid w:val="003A50FB"/>
    <w:rsid w:val="003B0D73"/>
    <w:rsid w:val="003C17C3"/>
    <w:rsid w:val="003C2B9E"/>
    <w:rsid w:val="003D4230"/>
    <w:rsid w:val="003D5094"/>
    <w:rsid w:val="003E69A9"/>
    <w:rsid w:val="003F74F7"/>
    <w:rsid w:val="004005EB"/>
    <w:rsid w:val="00403DF8"/>
    <w:rsid w:val="00404F45"/>
    <w:rsid w:val="004067E7"/>
    <w:rsid w:val="0041462F"/>
    <w:rsid w:val="0043075C"/>
    <w:rsid w:val="004336CC"/>
    <w:rsid w:val="00434081"/>
    <w:rsid w:val="0043561C"/>
    <w:rsid w:val="00441B33"/>
    <w:rsid w:val="00443CB7"/>
    <w:rsid w:val="00445AB5"/>
    <w:rsid w:val="00451179"/>
    <w:rsid w:val="004538F6"/>
    <w:rsid w:val="00454242"/>
    <w:rsid w:val="00465C93"/>
    <w:rsid w:val="00466AE8"/>
    <w:rsid w:val="004774C1"/>
    <w:rsid w:val="00482D40"/>
    <w:rsid w:val="00485A4F"/>
    <w:rsid w:val="00492571"/>
    <w:rsid w:val="004B7978"/>
    <w:rsid w:val="004D317C"/>
    <w:rsid w:val="004E3E5A"/>
    <w:rsid w:val="004F3B21"/>
    <w:rsid w:val="004F783E"/>
    <w:rsid w:val="00501597"/>
    <w:rsid w:val="00502B03"/>
    <w:rsid w:val="00504B1D"/>
    <w:rsid w:val="00527A83"/>
    <w:rsid w:val="00531482"/>
    <w:rsid w:val="00541DC6"/>
    <w:rsid w:val="00552B63"/>
    <w:rsid w:val="005534DD"/>
    <w:rsid w:val="005559C8"/>
    <w:rsid w:val="00556CC9"/>
    <w:rsid w:val="005572EA"/>
    <w:rsid w:val="00563CC0"/>
    <w:rsid w:val="00565792"/>
    <w:rsid w:val="00570649"/>
    <w:rsid w:val="00573D00"/>
    <w:rsid w:val="00580D07"/>
    <w:rsid w:val="0058384F"/>
    <w:rsid w:val="00595776"/>
    <w:rsid w:val="005B0F56"/>
    <w:rsid w:val="005B39ED"/>
    <w:rsid w:val="005B5D04"/>
    <w:rsid w:val="005C5C23"/>
    <w:rsid w:val="005D45B3"/>
    <w:rsid w:val="005D791D"/>
    <w:rsid w:val="006067C2"/>
    <w:rsid w:val="0060784A"/>
    <w:rsid w:val="00610A78"/>
    <w:rsid w:val="006136D4"/>
    <w:rsid w:val="00617E3B"/>
    <w:rsid w:val="00617FAC"/>
    <w:rsid w:val="00623623"/>
    <w:rsid w:val="00623B1E"/>
    <w:rsid w:val="00625454"/>
    <w:rsid w:val="0063488E"/>
    <w:rsid w:val="006409D9"/>
    <w:rsid w:val="00641E9A"/>
    <w:rsid w:val="00647DEC"/>
    <w:rsid w:val="00651CFE"/>
    <w:rsid w:val="006628FE"/>
    <w:rsid w:val="0066588C"/>
    <w:rsid w:val="00675105"/>
    <w:rsid w:val="0068501A"/>
    <w:rsid w:val="006A73F8"/>
    <w:rsid w:val="006A74B0"/>
    <w:rsid w:val="006B4108"/>
    <w:rsid w:val="006C0AB8"/>
    <w:rsid w:val="006C2C25"/>
    <w:rsid w:val="006C62C8"/>
    <w:rsid w:val="006E6D1B"/>
    <w:rsid w:val="006F3EEC"/>
    <w:rsid w:val="006F7C4D"/>
    <w:rsid w:val="006F7D69"/>
    <w:rsid w:val="0070482C"/>
    <w:rsid w:val="007049B4"/>
    <w:rsid w:val="00707E6F"/>
    <w:rsid w:val="007146B4"/>
    <w:rsid w:val="007161FF"/>
    <w:rsid w:val="00716442"/>
    <w:rsid w:val="007172B5"/>
    <w:rsid w:val="00722C1B"/>
    <w:rsid w:val="00724D1E"/>
    <w:rsid w:val="00726B43"/>
    <w:rsid w:val="00732364"/>
    <w:rsid w:val="00733B87"/>
    <w:rsid w:val="00737ED0"/>
    <w:rsid w:val="007433C4"/>
    <w:rsid w:val="00745002"/>
    <w:rsid w:val="007505C3"/>
    <w:rsid w:val="00753C9C"/>
    <w:rsid w:val="0075672C"/>
    <w:rsid w:val="00756DB4"/>
    <w:rsid w:val="007658C7"/>
    <w:rsid w:val="00770A9F"/>
    <w:rsid w:val="00771EC3"/>
    <w:rsid w:val="007816DC"/>
    <w:rsid w:val="0078731F"/>
    <w:rsid w:val="00791436"/>
    <w:rsid w:val="00792981"/>
    <w:rsid w:val="007A00C9"/>
    <w:rsid w:val="007A24E9"/>
    <w:rsid w:val="007A3CBC"/>
    <w:rsid w:val="007A7A91"/>
    <w:rsid w:val="007B0ED6"/>
    <w:rsid w:val="007B29E3"/>
    <w:rsid w:val="007C7C86"/>
    <w:rsid w:val="007D6187"/>
    <w:rsid w:val="007E2321"/>
    <w:rsid w:val="007E4619"/>
    <w:rsid w:val="007F0068"/>
    <w:rsid w:val="007F0CB9"/>
    <w:rsid w:val="007F20ED"/>
    <w:rsid w:val="007F3829"/>
    <w:rsid w:val="00823E41"/>
    <w:rsid w:val="00825D49"/>
    <w:rsid w:val="00834658"/>
    <w:rsid w:val="00834C84"/>
    <w:rsid w:val="008368A5"/>
    <w:rsid w:val="00841ADD"/>
    <w:rsid w:val="00844AC1"/>
    <w:rsid w:val="00852043"/>
    <w:rsid w:val="00860C9F"/>
    <w:rsid w:val="00864C0B"/>
    <w:rsid w:val="00864D67"/>
    <w:rsid w:val="00872B80"/>
    <w:rsid w:val="00877EF6"/>
    <w:rsid w:val="00880C33"/>
    <w:rsid w:val="00882D90"/>
    <w:rsid w:val="008836D4"/>
    <w:rsid w:val="00890924"/>
    <w:rsid w:val="0089092E"/>
    <w:rsid w:val="00890FF9"/>
    <w:rsid w:val="00891525"/>
    <w:rsid w:val="00892B9C"/>
    <w:rsid w:val="0089474C"/>
    <w:rsid w:val="00895C96"/>
    <w:rsid w:val="008A1339"/>
    <w:rsid w:val="008A3561"/>
    <w:rsid w:val="008B2393"/>
    <w:rsid w:val="008C17D8"/>
    <w:rsid w:val="008C382C"/>
    <w:rsid w:val="008C60BB"/>
    <w:rsid w:val="008C6DA7"/>
    <w:rsid w:val="008C7702"/>
    <w:rsid w:val="008D5072"/>
    <w:rsid w:val="008D5880"/>
    <w:rsid w:val="008E5CAF"/>
    <w:rsid w:val="008E7FF2"/>
    <w:rsid w:val="008F0379"/>
    <w:rsid w:val="008F38CD"/>
    <w:rsid w:val="008F39AD"/>
    <w:rsid w:val="00903F61"/>
    <w:rsid w:val="00905230"/>
    <w:rsid w:val="00905DD5"/>
    <w:rsid w:val="00906284"/>
    <w:rsid w:val="00907D8C"/>
    <w:rsid w:val="009220FA"/>
    <w:rsid w:val="009313C4"/>
    <w:rsid w:val="00931831"/>
    <w:rsid w:val="00934188"/>
    <w:rsid w:val="009349BA"/>
    <w:rsid w:val="00941351"/>
    <w:rsid w:val="009431F9"/>
    <w:rsid w:val="0095015F"/>
    <w:rsid w:val="00951C89"/>
    <w:rsid w:val="009530EB"/>
    <w:rsid w:val="009606E7"/>
    <w:rsid w:val="009663FD"/>
    <w:rsid w:val="00985417"/>
    <w:rsid w:val="00986424"/>
    <w:rsid w:val="00986A22"/>
    <w:rsid w:val="00997213"/>
    <w:rsid w:val="009A02AD"/>
    <w:rsid w:val="009A04F1"/>
    <w:rsid w:val="009A41C5"/>
    <w:rsid w:val="009C1B38"/>
    <w:rsid w:val="009C2175"/>
    <w:rsid w:val="009C384E"/>
    <w:rsid w:val="009D1D66"/>
    <w:rsid w:val="009D5DB0"/>
    <w:rsid w:val="009D6790"/>
    <w:rsid w:val="009E5E02"/>
    <w:rsid w:val="00A02442"/>
    <w:rsid w:val="00A02D90"/>
    <w:rsid w:val="00A05673"/>
    <w:rsid w:val="00A11870"/>
    <w:rsid w:val="00A21B95"/>
    <w:rsid w:val="00A450BB"/>
    <w:rsid w:val="00A52DA9"/>
    <w:rsid w:val="00A56964"/>
    <w:rsid w:val="00A601CF"/>
    <w:rsid w:val="00A66ECD"/>
    <w:rsid w:val="00A71E1C"/>
    <w:rsid w:val="00A727CD"/>
    <w:rsid w:val="00A814C4"/>
    <w:rsid w:val="00A917D6"/>
    <w:rsid w:val="00AA57F2"/>
    <w:rsid w:val="00AB0178"/>
    <w:rsid w:val="00AB3FE0"/>
    <w:rsid w:val="00AB45CA"/>
    <w:rsid w:val="00AC288B"/>
    <w:rsid w:val="00AC5C88"/>
    <w:rsid w:val="00AD1606"/>
    <w:rsid w:val="00AE228C"/>
    <w:rsid w:val="00AF0EBD"/>
    <w:rsid w:val="00AF42E4"/>
    <w:rsid w:val="00AF60FE"/>
    <w:rsid w:val="00B00E19"/>
    <w:rsid w:val="00B00E78"/>
    <w:rsid w:val="00B02FAB"/>
    <w:rsid w:val="00B0315C"/>
    <w:rsid w:val="00B04D23"/>
    <w:rsid w:val="00B10617"/>
    <w:rsid w:val="00B14955"/>
    <w:rsid w:val="00B149E1"/>
    <w:rsid w:val="00B17105"/>
    <w:rsid w:val="00B17C83"/>
    <w:rsid w:val="00B204DE"/>
    <w:rsid w:val="00B250D7"/>
    <w:rsid w:val="00B37771"/>
    <w:rsid w:val="00B40FEC"/>
    <w:rsid w:val="00B41E32"/>
    <w:rsid w:val="00B42236"/>
    <w:rsid w:val="00B45FE1"/>
    <w:rsid w:val="00B47E0B"/>
    <w:rsid w:val="00B522CE"/>
    <w:rsid w:val="00B54027"/>
    <w:rsid w:val="00B573AA"/>
    <w:rsid w:val="00B62E5A"/>
    <w:rsid w:val="00B851E2"/>
    <w:rsid w:val="00B92953"/>
    <w:rsid w:val="00B93DAD"/>
    <w:rsid w:val="00B97CFF"/>
    <w:rsid w:val="00BA476D"/>
    <w:rsid w:val="00BB0A77"/>
    <w:rsid w:val="00BC4425"/>
    <w:rsid w:val="00BD711E"/>
    <w:rsid w:val="00BE226C"/>
    <w:rsid w:val="00BF4E2C"/>
    <w:rsid w:val="00C16EE0"/>
    <w:rsid w:val="00C170B4"/>
    <w:rsid w:val="00C17311"/>
    <w:rsid w:val="00C2548B"/>
    <w:rsid w:val="00C30E25"/>
    <w:rsid w:val="00C417EA"/>
    <w:rsid w:val="00C41BCF"/>
    <w:rsid w:val="00C41E9E"/>
    <w:rsid w:val="00C54935"/>
    <w:rsid w:val="00C67546"/>
    <w:rsid w:val="00C71463"/>
    <w:rsid w:val="00C8262D"/>
    <w:rsid w:val="00C843DB"/>
    <w:rsid w:val="00C90892"/>
    <w:rsid w:val="00C94485"/>
    <w:rsid w:val="00C979EB"/>
    <w:rsid w:val="00CA48C1"/>
    <w:rsid w:val="00CB54DB"/>
    <w:rsid w:val="00CC65CB"/>
    <w:rsid w:val="00CD328D"/>
    <w:rsid w:val="00CD7CF4"/>
    <w:rsid w:val="00CF5E43"/>
    <w:rsid w:val="00CF794D"/>
    <w:rsid w:val="00CF7DD0"/>
    <w:rsid w:val="00D02E87"/>
    <w:rsid w:val="00D06301"/>
    <w:rsid w:val="00D11CF3"/>
    <w:rsid w:val="00D13D5C"/>
    <w:rsid w:val="00D222DB"/>
    <w:rsid w:val="00D31253"/>
    <w:rsid w:val="00D40488"/>
    <w:rsid w:val="00D41C81"/>
    <w:rsid w:val="00D42B8A"/>
    <w:rsid w:val="00D54A04"/>
    <w:rsid w:val="00D55368"/>
    <w:rsid w:val="00D650BF"/>
    <w:rsid w:val="00D66CFE"/>
    <w:rsid w:val="00D81AD4"/>
    <w:rsid w:val="00D81DD5"/>
    <w:rsid w:val="00D82F3B"/>
    <w:rsid w:val="00D83987"/>
    <w:rsid w:val="00D964FE"/>
    <w:rsid w:val="00DA13A3"/>
    <w:rsid w:val="00DA588C"/>
    <w:rsid w:val="00DB79AD"/>
    <w:rsid w:val="00DC2DFD"/>
    <w:rsid w:val="00DC7FD9"/>
    <w:rsid w:val="00DD14C8"/>
    <w:rsid w:val="00DD4896"/>
    <w:rsid w:val="00DE28FA"/>
    <w:rsid w:val="00DE583A"/>
    <w:rsid w:val="00DF0AC4"/>
    <w:rsid w:val="00DF29AE"/>
    <w:rsid w:val="00DF5FA9"/>
    <w:rsid w:val="00E05AB4"/>
    <w:rsid w:val="00E065FD"/>
    <w:rsid w:val="00E13290"/>
    <w:rsid w:val="00E27729"/>
    <w:rsid w:val="00E31741"/>
    <w:rsid w:val="00E35D9D"/>
    <w:rsid w:val="00E417C6"/>
    <w:rsid w:val="00E47794"/>
    <w:rsid w:val="00E5148D"/>
    <w:rsid w:val="00E521FD"/>
    <w:rsid w:val="00E80613"/>
    <w:rsid w:val="00EA579D"/>
    <w:rsid w:val="00EA73B7"/>
    <w:rsid w:val="00EA7905"/>
    <w:rsid w:val="00EB2236"/>
    <w:rsid w:val="00EB7CA6"/>
    <w:rsid w:val="00EC1593"/>
    <w:rsid w:val="00EE3094"/>
    <w:rsid w:val="00EE4E5E"/>
    <w:rsid w:val="00EE708C"/>
    <w:rsid w:val="00EF4395"/>
    <w:rsid w:val="00EF5DCD"/>
    <w:rsid w:val="00EF6308"/>
    <w:rsid w:val="00F029A4"/>
    <w:rsid w:val="00F02F61"/>
    <w:rsid w:val="00F170B3"/>
    <w:rsid w:val="00F21570"/>
    <w:rsid w:val="00F22529"/>
    <w:rsid w:val="00F23DE6"/>
    <w:rsid w:val="00F404A5"/>
    <w:rsid w:val="00F4252D"/>
    <w:rsid w:val="00F45DF7"/>
    <w:rsid w:val="00F514EE"/>
    <w:rsid w:val="00F53CC9"/>
    <w:rsid w:val="00F54B7E"/>
    <w:rsid w:val="00F55CA2"/>
    <w:rsid w:val="00F5754B"/>
    <w:rsid w:val="00F635D4"/>
    <w:rsid w:val="00F67993"/>
    <w:rsid w:val="00F70A7F"/>
    <w:rsid w:val="00F70D97"/>
    <w:rsid w:val="00F84823"/>
    <w:rsid w:val="00F91C19"/>
    <w:rsid w:val="00FA7BFF"/>
    <w:rsid w:val="00FB0B10"/>
    <w:rsid w:val="00FB14B1"/>
    <w:rsid w:val="00FB156A"/>
    <w:rsid w:val="00FC3A9C"/>
    <w:rsid w:val="00FC54A9"/>
    <w:rsid w:val="00FC72DD"/>
    <w:rsid w:val="00FC7A2E"/>
    <w:rsid w:val="00FC7EB8"/>
    <w:rsid w:val="00FD5568"/>
    <w:rsid w:val="00FD5B55"/>
    <w:rsid w:val="00FE5ACB"/>
    <w:rsid w:val="00FF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B1824"/>
  <w15:docId w15:val="{21B2C18E-5185-4F5E-937D-49E6E32B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4E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D58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D58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D5880"/>
    <w:pPr>
      <w:keepNext/>
      <w:spacing w:before="240" w:after="60"/>
      <w:outlineLvl w:val="2"/>
    </w:pPr>
    <w:rPr>
      <w:rFonts w:ascii="Cambria" w:hAnsi="Cambria"/>
      <w:b/>
      <w:bCs/>
      <w:sz w:val="26"/>
      <w:szCs w:val="26"/>
    </w:rPr>
  </w:style>
  <w:style w:type="paragraph" w:styleId="Heading4">
    <w:name w:val="heading 4"/>
    <w:basedOn w:val="Normal"/>
    <w:link w:val="Heading4Char"/>
    <w:qFormat/>
    <w:rsid w:val="008D5880"/>
    <w:pPr>
      <w:spacing w:before="100" w:beforeAutospacing="1" w:after="100" w:afterAutospacing="1"/>
      <w:ind w:left="15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4E9"/>
    <w:pPr>
      <w:tabs>
        <w:tab w:val="center" w:pos="4320"/>
        <w:tab w:val="right" w:pos="8640"/>
      </w:tabs>
    </w:pPr>
  </w:style>
  <w:style w:type="character" w:customStyle="1" w:styleId="HeaderChar">
    <w:name w:val="Header Char"/>
    <w:basedOn w:val="DefaultParagraphFont"/>
    <w:link w:val="Header"/>
    <w:uiPriority w:val="99"/>
    <w:rsid w:val="007A24E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A24E9"/>
    <w:pPr>
      <w:tabs>
        <w:tab w:val="center" w:pos="4320"/>
        <w:tab w:val="right" w:pos="8640"/>
      </w:tabs>
    </w:pPr>
  </w:style>
  <w:style w:type="character" w:customStyle="1" w:styleId="FooterChar">
    <w:name w:val="Footer Char"/>
    <w:basedOn w:val="DefaultParagraphFont"/>
    <w:link w:val="Footer"/>
    <w:uiPriority w:val="99"/>
    <w:rsid w:val="007A24E9"/>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D5880"/>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rsid w:val="008D5880"/>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rsid w:val="008D5880"/>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rsid w:val="008D5880"/>
    <w:rPr>
      <w:rFonts w:ascii="Calibri" w:eastAsia="Times New Roman" w:hAnsi="Calibri" w:cs="Times New Roman"/>
      <w:b/>
      <w:bCs/>
      <w:sz w:val="28"/>
      <w:szCs w:val="28"/>
      <w:lang w:eastAsia="en-GB"/>
    </w:rPr>
  </w:style>
  <w:style w:type="paragraph" w:styleId="List">
    <w:name w:val="List"/>
    <w:basedOn w:val="Normal"/>
    <w:rsid w:val="008D5880"/>
    <w:pPr>
      <w:ind w:left="283" w:hanging="283"/>
    </w:pPr>
  </w:style>
  <w:style w:type="paragraph" w:styleId="Date">
    <w:name w:val="Date"/>
    <w:basedOn w:val="Normal"/>
    <w:next w:val="Normal"/>
    <w:link w:val="DateChar"/>
    <w:rsid w:val="008D5880"/>
  </w:style>
  <w:style w:type="character" w:customStyle="1" w:styleId="DateChar">
    <w:name w:val="Date Char"/>
    <w:basedOn w:val="DefaultParagraphFont"/>
    <w:link w:val="Date"/>
    <w:rsid w:val="008D5880"/>
    <w:rPr>
      <w:rFonts w:ascii="Times New Roman" w:eastAsia="Times New Roman" w:hAnsi="Times New Roman" w:cs="Times New Roman"/>
      <w:sz w:val="24"/>
      <w:szCs w:val="24"/>
      <w:lang w:eastAsia="en-GB"/>
    </w:rPr>
  </w:style>
  <w:style w:type="paragraph" w:styleId="Title">
    <w:name w:val="Title"/>
    <w:basedOn w:val="Normal"/>
    <w:link w:val="TitleChar"/>
    <w:qFormat/>
    <w:rsid w:val="008D58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D5880"/>
    <w:rPr>
      <w:rFonts w:ascii="Cambria" w:eastAsia="Times New Roman" w:hAnsi="Cambria" w:cs="Times New Roman"/>
      <w:b/>
      <w:bCs/>
      <w:kern w:val="28"/>
      <w:sz w:val="32"/>
      <w:szCs w:val="32"/>
      <w:lang w:eastAsia="en-GB"/>
    </w:rPr>
  </w:style>
  <w:style w:type="paragraph" w:styleId="BodyText">
    <w:name w:val="Body Text"/>
    <w:basedOn w:val="Normal"/>
    <w:link w:val="BodyTextChar"/>
    <w:rsid w:val="008D5880"/>
    <w:pPr>
      <w:spacing w:after="120"/>
    </w:pPr>
  </w:style>
  <w:style w:type="character" w:customStyle="1" w:styleId="BodyTextChar">
    <w:name w:val="Body Text Char"/>
    <w:basedOn w:val="DefaultParagraphFont"/>
    <w:link w:val="BodyText"/>
    <w:rsid w:val="008D5880"/>
    <w:rPr>
      <w:rFonts w:ascii="Times New Roman" w:eastAsia="Times New Roman" w:hAnsi="Times New Roman" w:cs="Times New Roman"/>
      <w:sz w:val="24"/>
      <w:szCs w:val="24"/>
      <w:lang w:eastAsia="en-GB"/>
    </w:rPr>
  </w:style>
  <w:style w:type="paragraph" w:styleId="BodyTextFirstIndent">
    <w:name w:val="Body Text First Indent"/>
    <w:basedOn w:val="BodyText"/>
    <w:link w:val="BodyTextFirstIndentChar"/>
    <w:rsid w:val="008D5880"/>
    <w:pPr>
      <w:ind w:firstLine="210"/>
    </w:pPr>
  </w:style>
  <w:style w:type="character" w:customStyle="1" w:styleId="BodyTextFirstIndentChar">
    <w:name w:val="Body Text First Indent Char"/>
    <w:basedOn w:val="BodyTextChar"/>
    <w:link w:val="BodyTextFirstIndent"/>
    <w:rsid w:val="008D588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8D5880"/>
    <w:pPr>
      <w:spacing w:after="120"/>
      <w:ind w:left="283"/>
    </w:pPr>
  </w:style>
  <w:style w:type="character" w:customStyle="1" w:styleId="BodyTextIndentChar">
    <w:name w:val="Body Text Indent Char"/>
    <w:basedOn w:val="DefaultParagraphFont"/>
    <w:link w:val="BodyTextIndent"/>
    <w:rsid w:val="008D5880"/>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rsid w:val="008D5880"/>
    <w:pPr>
      <w:ind w:firstLine="210"/>
    </w:pPr>
  </w:style>
  <w:style w:type="character" w:customStyle="1" w:styleId="BodyTextFirstIndent2Char">
    <w:name w:val="Body Text First Indent 2 Char"/>
    <w:basedOn w:val="BodyTextIndentChar"/>
    <w:link w:val="BodyTextFirstIndent2"/>
    <w:rsid w:val="008D5880"/>
    <w:rPr>
      <w:rFonts w:ascii="Times New Roman" w:eastAsia="Times New Roman" w:hAnsi="Times New Roman" w:cs="Times New Roman"/>
      <w:sz w:val="24"/>
      <w:szCs w:val="24"/>
      <w:lang w:eastAsia="en-GB"/>
    </w:rPr>
  </w:style>
  <w:style w:type="character" w:styleId="PageNumber">
    <w:name w:val="page number"/>
    <w:rsid w:val="008D5880"/>
    <w:rPr>
      <w:rFonts w:cs="Times New Roman"/>
    </w:rPr>
  </w:style>
  <w:style w:type="paragraph" w:customStyle="1" w:styleId="indent10bl">
    <w:name w:val="indent10bl"/>
    <w:basedOn w:val="Normal"/>
    <w:rsid w:val="008D5880"/>
    <w:pPr>
      <w:spacing w:before="100" w:beforeAutospacing="1" w:after="100" w:afterAutospacing="1"/>
    </w:pPr>
    <w:rPr>
      <w:lang w:val="en-US" w:eastAsia="en-US"/>
    </w:rPr>
  </w:style>
  <w:style w:type="paragraph" w:customStyle="1" w:styleId="indent20">
    <w:name w:val="indent20"/>
    <w:basedOn w:val="Normal"/>
    <w:rsid w:val="008D5880"/>
    <w:pPr>
      <w:spacing w:before="100" w:beforeAutospacing="1" w:after="100" w:afterAutospacing="1"/>
    </w:pPr>
    <w:rPr>
      <w:lang w:val="en-US" w:eastAsia="en-US"/>
    </w:rPr>
  </w:style>
  <w:style w:type="paragraph" w:styleId="NormalWeb">
    <w:name w:val="Normal (Web)"/>
    <w:basedOn w:val="Normal"/>
    <w:rsid w:val="008D5880"/>
    <w:pPr>
      <w:spacing w:before="100" w:beforeAutospacing="1" w:after="100" w:afterAutospacing="1"/>
      <w:ind w:left="150"/>
    </w:pPr>
    <w:rPr>
      <w:rFonts w:ascii="Verdana" w:hAnsi="Verdana" w:cs="Verdana"/>
      <w:sz w:val="19"/>
      <w:szCs w:val="19"/>
      <w:lang w:val="en-US" w:eastAsia="en-US"/>
    </w:rPr>
  </w:style>
  <w:style w:type="paragraph" w:styleId="BalloonText">
    <w:name w:val="Balloon Text"/>
    <w:basedOn w:val="Normal"/>
    <w:link w:val="BalloonTextChar"/>
    <w:semiHidden/>
    <w:rsid w:val="008D5880"/>
    <w:rPr>
      <w:sz w:val="2"/>
      <w:szCs w:val="2"/>
    </w:rPr>
  </w:style>
  <w:style w:type="character" w:customStyle="1" w:styleId="BalloonTextChar">
    <w:name w:val="Balloon Text Char"/>
    <w:basedOn w:val="DefaultParagraphFont"/>
    <w:link w:val="BalloonText"/>
    <w:semiHidden/>
    <w:rsid w:val="008D5880"/>
    <w:rPr>
      <w:rFonts w:ascii="Times New Roman" w:eastAsia="Times New Roman" w:hAnsi="Times New Roman" w:cs="Times New Roman"/>
      <w:sz w:val="2"/>
      <w:szCs w:val="2"/>
      <w:lang w:eastAsia="en-GB"/>
    </w:rPr>
  </w:style>
  <w:style w:type="paragraph" w:customStyle="1" w:styleId="Default">
    <w:name w:val="Default"/>
    <w:rsid w:val="008D588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semiHidden/>
    <w:rsid w:val="008D5880"/>
    <w:pPr>
      <w:shd w:val="clear" w:color="auto" w:fill="000080"/>
    </w:pPr>
    <w:rPr>
      <w:sz w:val="2"/>
      <w:szCs w:val="2"/>
    </w:rPr>
  </w:style>
  <w:style w:type="character" w:customStyle="1" w:styleId="DocumentMapChar">
    <w:name w:val="Document Map Char"/>
    <w:basedOn w:val="DefaultParagraphFont"/>
    <w:link w:val="DocumentMap"/>
    <w:semiHidden/>
    <w:rsid w:val="008D5880"/>
    <w:rPr>
      <w:rFonts w:ascii="Times New Roman" w:eastAsia="Times New Roman" w:hAnsi="Times New Roman" w:cs="Times New Roman"/>
      <w:sz w:val="2"/>
      <w:szCs w:val="2"/>
      <w:shd w:val="clear" w:color="auto" w:fill="000080"/>
      <w:lang w:eastAsia="en-GB"/>
    </w:rPr>
  </w:style>
  <w:style w:type="paragraph" w:styleId="NoSpacing">
    <w:name w:val="No Spacing"/>
    <w:link w:val="NoSpacingChar"/>
    <w:uiPriority w:val="1"/>
    <w:qFormat/>
    <w:rsid w:val="008D5880"/>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8D5880"/>
    <w:rPr>
      <w:rFonts w:ascii="Calibri" w:eastAsia="Times New Roman" w:hAnsi="Calibri" w:cs="Times New Roman"/>
      <w:lang w:val="en-US"/>
    </w:rPr>
  </w:style>
  <w:style w:type="paragraph" w:styleId="ListParagraph">
    <w:name w:val="List Paragraph"/>
    <w:basedOn w:val="Normal"/>
    <w:uiPriority w:val="34"/>
    <w:qFormat/>
    <w:rsid w:val="00FB156A"/>
    <w:pPr>
      <w:ind w:left="720"/>
      <w:contextualSpacing/>
    </w:pPr>
  </w:style>
  <w:style w:type="character" w:styleId="Hyperlink">
    <w:name w:val="Hyperlink"/>
    <w:basedOn w:val="DefaultParagraphFont"/>
    <w:uiPriority w:val="99"/>
    <w:unhideWhenUsed/>
    <w:rsid w:val="003959EF"/>
    <w:rPr>
      <w:color w:val="0000FF" w:themeColor="hyperlink"/>
      <w:u w:val="single"/>
    </w:rPr>
  </w:style>
  <w:style w:type="paragraph" w:customStyle="1" w:styleId="Standard">
    <w:name w:val="Standard"/>
    <w:rsid w:val="00E277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5189">
      <w:bodyDiv w:val="1"/>
      <w:marLeft w:val="0"/>
      <w:marRight w:val="0"/>
      <w:marTop w:val="0"/>
      <w:marBottom w:val="0"/>
      <w:divBdr>
        <w:top w:val="none" w:sz="0" w:space="0" w:color="auto"/>
        <w:left w:val="none" w:sz="0" w:space="0" w:color="auto"/>
        <w:bottom w:val="none" w:sz="0" w:space="0" w:color="auto"/>
        <w:right w:val="none" w:sz="0" w:space="0" w:color="auto"/>
      </w:divBdr>
    </w:div>
    <w:div w:id="72892982">
      <w:bodyDiv w:val="1"/>
      <w:marLeft w:val="0"/>
      <w:marRight w:val="0"/>
      <w:marTop w:val="0"/>
      <w:marBottom w:val="0"/>
      <w:divBdr>
        <w:top w:val="none" w:sz="0" w:space="0" w:color="auto"/>
        <w:left w:val="none" w:sz="0" w:space="0" w:color="auto"/>
        <w:bottom w:val="none" w:sz="0" w:space="0" w:color="auto"/>
        <w:right w:val="none" w:sz="0" w:space="0" w:color="auto"/>
      </w:divBdr>
    </w:div>
    <w:div w:id="242497375">
      <w:bodyDiv w:val="1"/>
      <w:marLeft w:val="0"/>
      <w:marRight w:val="0"/>
      <w:marTop w:val="0"/>
      <w:marBottom w:val="0"/>
      <w:divBdr>
        <w:top w:val="none" w:sz="0" w:space="0" w:color="auto"/>
        <w:left w:val="none" w:sz="0" w:space="0" w:color="auto"/>
        <w:bottom w:val="none" w:sz="0" w:space="0" w:color="auto"/>
        <w:right w:val="none" w:sz="0" w:space="0" w:color="auto"/>
      </w:divBdr>
    </w:div>
    <w:div w:id="511382692">
      <w:bodyDiv w:val="1"/>
      <w:marLeft w:val="0"/>
      <w:marRight w:val="0"/>
      <w:marTop w:val="0"/>
      <w:marBottom w:val="0"/>
      <w:divBdr>
        <w:top w:val="none" w:sz="0" w:space="0" w:color="auto"/>
        <w:left w:val="none" w:sz="0" w:space="0" w:color="auto"/>
        <w:bottom w:val="none" w:sz="0" w:space="0" w:color="auto"/>
        <w:right w:val="none" w:sz="0" w:space="0" w:color="auto"/>
      </w:divBdr>
    </w:div>
    <w:div w:id="882211860">
      <w:bodyDiv w:val="1"/>
      <w:marLeft w:val="0"/>
      <w:marRight w:val="0"/>
      <w:marTop w:val="0"/>
      <w:marBottom w:val="0"/>
      <w:divBdr>
        <w:top w:val="none" w:sz="0" w:space="0" w:color="auto"/>
        <w:left w:val="none" w:sz="0" w:space="0" w:color="auto"/>
        <w:bottom w:val="none" w:sz="0" w:space="0" w:color="auto"/>
        <w:right w:val="none" w:sz="0" w:space="0" w:color="auto"/>
      </w:divBdr>
    </w:div>
    <w:div w:id="1000543696">
      <w:bodyDiv w:val="1"/>
      <w:marLeft w:val="0"/>
      <w:marRight w:val="0"/>
      <w:marTop w:val="0"/>
      <w:marBottom w:val="0"/>
      <w:divBdr>
        <w:top w:val="none" w:sz="0" w:space="0" w:color="auto"/>
        <w:left w:val="none" w:sz="0" w:space="0" w:color="auto"/>
        <w:bottom w:val="none" w:sz="0" w:space="0" w:color="auto"/>
        <w:right w:val="none" w:sz="0" w:space="0" w:color="auto"/>
      </w:divBdr>
    </w:div>
    <w:div w:id="1067798609">
      <w:bodyDiv w:val="1"/>
      <w:marLeft w:val="0"/>
      <w:marRight w:val="0"/>
      <w:marTop w:val="0"/>
      <w:marBottom w:val="0"/>
      <w:divBdr>
        <w:top w:val="none" w:sz="0" w:space="0" w:color="auto"/>
        <w:left w:val="none" w:sz="0" w:space="0" w:color="auto"/>
        <w:bottom w:val="none" w:sz="0" w:space="0" w:color="auto"/>
        <w:right w:val="none" w:sz="0" w:space="0" w:color="auto"/>
      </w:divBdr>
    </w:div>
    <w:div w:id="1131484007">
      <w:bodyDiv w:val="1"/>
      <w:marLeft w:val="0"/>
      <w:marRight w:val="0"/>
      <w:marTop w:val="0"/>
      <w:marBottom w:val="0"/>
      <w:divBdr>
        <w:top w:val="none" w:sz="0" w:space="0" w:color="auto"/>
        <w:left w:val="none" w:sz="0" w:space="0" w:color="auto"/>
        <w:bottom w:val="none" w:sz="0" w:space="0" w:color="auto"/>
        <w:right w:val="none" w:sz="0" w:space="0" w:color="auto"/>
      </w:divBdr>
    </w:div>
    <w:div w:id="1190218269">
      <w:bodyDiv w:val="1"/>
      <w:marLeft w:val="0"/>
      <w:marRight w:val="0"/>
      <w:marTop w:val="0"/>
      <w:marBottom w:val="0"/>
      <w:divBdr>
        <w:top w:val="none" w:sz="0" w:space="0" w:color="auto"/>
        <w:left w:val="none" w:sz="0" w:space="0" w:color="auto"/>
        <w:bottom w:val="none" w:sz="0" w:space="0" w:color="auto"/>
        <w:right w:val="none" w:sz="0" w:space="0" w:color="auto"/>
      </w:divBdr>
    </w:div>
    <w:div w:id="1321738954">
      <w:bodyDiv w:val="1"/>
      <w:marLeft w:val="0"/>
      <w:marRight w:val="0"/>
      <w:marTop w:val="0"/>
      <w:marBottom w:val="0"/>
      <w:divBdr>
        <w:top w:val="none" w:sz="0" w:space="0" w:color="auto"/>
        <w:left w:val="none" w:sz="0" w:space="0" w:color="auto"/>
        <w:bottom w:val="none" w:sz="0" w:space="0" w:color="auto"/>
        <w:right w:val="none" w:sz="0" w:space="0" w:color="auto"/>
      </w:divBdr>
    </w:div>
    <w:div w:id="1412194174">
      <w:bodyDiv w:val="1"/>
      <w:marLeft w:val="0"/>
      <w:marRight w:val="0"/>
      <w:marTop w:val="0"/>
      <w:marBottom w:val="0"/>
      <w:divBdr>
        <w:top w:val="none" w:sz="0" w:space="0" w:color="auto"/>
        <w:left w:val="none" w:sz="0" w:space="0" w:color="auto"/>
        <w:bottom w:val="none" w:sz="0" w:space="0" w:color="auto"/>
        <w:right w:val="none" w:sz="0" w:space="0" w:color="auto"/>
      </w:divBdr>
    </w:div>
    <w:div w:id="1487211470">
      <w:bodyDiv w:val="1"/>
      <w:marLeft w:val="0"/>
      <w:marRight w:val="0"/>
      <w:marTop w:val="0"/>
      <w:marBottom w:val="0"/>
      <w:divBdr>
        <w:top w:val="none" w:sz="0" w:space="0" w:color="auto"/>
        <w:left w:val="none" w:sz="0" w:space="0" w:color="auto"/>
        <w:bottom w:val="none" w:sz="0" w:space="0" w:color="auto"/>
        <w:right w:val="none" w:sz="0" w:space="0" w:color="auto"/>
      </w:divBdr>
    </w:div>
    <w:div w:id="1491171902">
      <w:bodyDiv w:val="1"/>
      <w:marLeft w:val="0"/>
      <w:marRight w:val="0"/>
      <w:marTop w:val="0"/>
      <w:marBottom w:val="0"/>
      <w:divBdr>
        <w:top w:val="none" w:sz="0" w:space="0" w:color="auto"/>
        <w:left w:val="none" w:sz="0" w:space="0" w:color="auto"/>
        <w:bottom w:val="none" w:sz="0" w:space="0" w:color="auto"/>
        <w:right w:val="none" w:sz="0" w:space="0" w:color="auto"/>
      </w:divBdr>
    </w:div>
    <w:div w:id="1619527836">
      <w:bodyDiv w:val="1"/>
      <w:marLeft w:val="0"/>
      <w:marRight w:val="0"/>
      <w:marTop w:val="0"/>
      <w:marBottom w:val="0"/>
      <w:divBdr>
        <w:top w:val="none" w:sz="0" w:space="0" w:color="auto"/>
        <w:left w:val="none" w:sz="0" w:space="0" w:color="auto"/>
        <w:bottom w:val="none" w:sz="0" w:space="0" w:color="auto"/>
        <w:right w:val="none" w:sz="0" w:space="0" w:color="auto"/>
      </w:divBdr>
    </w:div>
    <w:div w:id="1711418487">
      <w:bodyDiv w:val="1"/>
      <w:marLeft w:val="0"/>
      <w:marRight w:val="0"/>
      <w:marTop w:val="0"/>
      <w:marBottom w:val="0"/>
      <w:divBdr>
        <w:top w:val="none" w:sz="0" w:space="0" w:color="auto"/>
        <w:left w:val="none" w:sz="0" w:space="0" w:color="auto"/>
        <w:bottom w:val="none" w:sz="0" w:space="0" w:color="auto"/>
        <w:right w:val="none" w:sz="0" w:space="0" w:color="auto"/>
      </w:divBdr>
    </w:div>
    <w:div w:id="1762677782">
      <w:bodyDiv w:val="1"/>
      <w:marLeft w:val="0"/>
      <w:marRight w:val="0"/>
      <w:marTop w:val="0"/>
      <w:marBottom w:val="0"/>
      <w:divBdr>
        <w:top w:val="none" w:sz="0" w:space="0" w:color="auto"/>
        <w:left w:val="none" w:sz="0" w:space="0" w:color="auto"/>
        <w:bottom w:val="none" w:sz="0" w:space="0" w:color="auto"/>
        <w:right w:val="none" w:sz="0" w:space="0" w:color="auto"/>
      </w:divBdr>
    </w:div>
    <w:div w:id="19282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12BEF-9D8D-4A32-962F-14369B27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21</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dc:description/>
  <cp:lastModifiedBy>Peter Jackson</cp:lastModifiedBy>
  <cp:revision>50</cp:revision>
  <cp:lastPrinted>2018-04-23T07:43:00Z</cp:lastPrinted>
  <dcterms:created xsi:type="dcterms:W3CDTF">2018-01-22T11:27:00Z</dcterms:created>
  <dcterms:modified xsi:type="dcterms:W3CDTF">2018-04-23T07:44:00Z</dcterms:modified>
</cp:coreProperties>
</file>