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bookmarkStart w:id="0" w:name="_GoBack"/>
      <w:bookmarkEnd w:id="0"/>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774697B3" w14:textId="6FB64D7F" w:rsidR="00CA4616" w:rsidRDefault="00570806" w:rsidP="00570806">
      <w:pPr>
        <w:jc w:val="right"/>
        <w:rPr>
          <w:rFonts w:ascii="Segoe UI" w:hAnsi="Segoe UI" w:cs="Segoe UI"/>
          <w:b/>
          <w:color w:val="0070C0"/>
        </w:rPr>
      </w:pPr>
      <w:r w:rsidRPr="00936C6E">
        <w:rPr>
          <w:noProof/>
          <w:lang w:eastAsia="en-GB"/>
        </w:rPr>
        <w:lastRenderedPageBreak/>
        <w:drawing>
          <wp:inline distT="0" distB="0" distL="0" distR="0" wp14:anchorId="3FC7E611" wp14:editId="2AB031B9">
            <wp:extent cx="1833175" cy="558800"/>
            <wp:effectExtent l="0" t="0" r="0" b="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inline>
        </w:drawing>
      </w:r>
    </w:p>
    <w:p w14:paraId="0FFAC29E" w14:textId="633E15D3" w:rsidR="00D16A73" w:rsidRPr="00E7070C" w:rsidRDefault="00CF6378" w:rsidP="00CF6378">
      <w:pPr>
        <w:spacing w:after="0" w:line="276" w:lineRule="auto"/>
        <w:rPr>
          <w:rFonts w:ascii="Segoe UI" w:hAnsi="Segoe UI" w:cs="Segoe UI"/>
          <w:b/>
          <w:color w:val="0070C0"/>
          <w:sz w:val="32"/>
        </w:rPr>
      </w:pPr>
      <w:r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5FD83D3C"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p>
    <w:p w14:paraId="2CB32452" w14:textId="04EC73AB" w:rsidR="00B01205"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FB2B648" w14:textId="77777777" w:rsidR="00FC4E67" w:rsidRDefault="00FC4E67" w:rsidP="00BD2521">
      <w:pPr>
        <w:ind w:left="2977" w:hanging="2977"/>
        <w:rPr>
          <w:rFonts w:ascii="Segoe UI" w:hAnsi="Segoe UI" w:cs="Segoe UI"/>
          <w:b/>
          <w:color w:val="0070C0"/>
        </w:rPr>
      </w:pPr>
    </w:p>
    <w:p w14:paraId="4FB4DAB0" w14:textId="332A6B9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3191C9DE"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lastRenderedPageBreak/>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2A0D2AD4"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the service of school improvement support 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5CBBBC5A"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Friday 21</w:t>
      </w:r>
      <w:r w:rsidR="00284A6D" w:rsidRPr="00284A6D">
        <w:rPr>
          <w:rFonts w:ascii="Segoe UI" w:hAnsi="Segoe UI" w:cs="Segoe UI"/>
          <w:vertAlign w:val="superscript"/>
        </w:rPr>
        <w:t>st</w:t>
      </w:r>
      <w:r w:rsidR="00284A6D">
        <w:rPr>
          <w:rFonts w:ascii="Segoe UI" w:hAnsi="Segoe UI" w:cs="Segoe UI"/>
        </w:rPr>
        <w:t xml:space="preserve"> September</w:t>
      </w:r>
      <w:r w:rsidR="0084203F">
        <w:rPr>
          <w:rFonts w:ascii="Segoe UI" w:hAnsi="Segoe UI" w:cs="Segoe UI"/>
        </w:rPr>
        <w:t xml:space="preserve"> </w:t>
      </w:r>
      <w:r w:rsidRPr="009C6675">
        <w:rPr>
          <w:rFonts w:ascii="Segoe UI" w:hAnsi="Segoe UI" w:cs="Segoe UI"/>
        </w:rPr>
        <w:t xml:space="preserve">(applications to be received by </w:t>
      </w:r>
      <w:r w:rsidR="0084203F">
        <w:rPr>
          <w:rFonts w:ascii="Segoe UI" w:hAnsi="Segoe UI" w:cs="Segoe UI"/>
        </w:rPr>
        <w:t>4pm</w:t>
      </w:r>
      <w:r w:rsidRPr="009C6675">
        <w:rPr>
          <w:rFonts w:ascii="Segoe UI" w:hAnsi="Segoe UI" w:cs="Segoe UI"/>
        </w:rPr>
        <w:t xml:space="preserve">) with interviews scheduled for </w:t>
      </w:r>
      <w:r w:rsidR="0084203F">
        <w:rPr>
          <w:rFonts w:ascii="Segoe UI" w:hAnsi="Segoe UI" w:cs="Segoe UI"/>
        </w:rPr>
        <w:t>Wednesday</w:t>
      </w:r>
      <w:r w:rsidRPr="009C6675">
        <w:rPr>
          <w:rFonts w:ascii="Segoe UI" w:hAnsi="Segoe UI" w:cs="Segoe UI"/>
        </w:rPr>
        <w:t xml:space="preserve"> </w:t>
      </w:r>
      <w:r w:rsidR="00D87ACF">
        <w:rPr>
          <w:rFonts w:ascii="Segoe UI" w:hAnsi="Segoe UI" w:cs="Segoe UI"/>
        </w:rPr>
        <w:t>26</w:t>
      </w:r>
      <w:r w:rsidR="00D87ACF" w:rsidRPr="00D87ACF">
        <w:rPr>
          <w:rFonts w:ascii="Segoe UI" w:hAnsi="Segoe UI" w:cs="Segoe UI"/>
          <w:vertAlign w:val="superscript"/>
        </w:rPr>
        <w:t>th</w:t>
      </w:r>
      <w:r w:rsidR="00D87ACF">
        <w:rPr>
          <w:rFonts w:ascii="Segoe UI" w:hAnsi="Segoe UI" w:cs="Segoe UI"/>
        </w:rPr>
        <w:t xml:space="preserve"> September</w:t>
      </w:r>
      <w:r w:rsidRPr="009C6675">
        <w:rPr>
          <w:rFonts w:ascii="Segoe UI" w:hAnsi="Segoe UI" w:cs="Segoe UI"/>
        </w:rPr>
        <w:t xml:space="preserve">. The proposed start date is </w:t>
      </w:r>
      <w:r w:rsidR="00065289">
        <w:rPr>
          <w:rFonts w:ascii="Segoe UI" w:hAnsi="Segoe UI" w:cs="Segoe UI"/>
        </w:rPr>
        <w:t>7</w:t>
      </w:r>
      <w:r w:rsidR="00065289" w:rsidRPr="00065289">
        <w:rPr>
          <w:rFonts w:ascii="Segoe UI" w:hAnsi="Segoe UI" w:cs="Segoe UI"/>
          <w:vertAlign w:val="superscript"/>
        </w:rPr>
        <w:t>th</w:t>
      </w:r>
      <w:r w:rsidR="00065289">
        <w:rPr>
          <w:rFonts w:ascii="Segoe UI" w:hAnsi="Segoe UI" w:cs="Segoe UI"/>
        </w:rPr>
        <w:t xml:space="preserve"> </w:t>
      </w:r>
      <w:r w:rsidRPr="009C6675">
        <w:rPr>
          <w:rFonts w:ascii="Segoe UI" w:hAnsi="Segoe UI" w:cs="Segoe UI"/>
        </w:rPr>
        <w:t xml:space="preserve">January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1BD0AB77" w:rsidR="00180786" w:rsidRPr="00331120" w:rsidRDefault="00180786" w:rsidP="00AD733E">
      <w:pPr>
        <w:spacing w:after="0"/>
        <w:rPr>
          <w:rFonts w:ascii="Segoe UI" w:hAnsi="Segoe UI" w:cs="Segoe UI"/>
          <w:b/>
          <w:color w:val="002060"/>
          <w:sz w:val="28"/>
        </w:rPr>
      </w:pPr>
      <w:r w:rsidRPr="00331120">
        <w:rPr>
          <w:rFonts w:ascii="Segoe UI" w:hAnsi="Segoe UI" w:cs="Segoe UI"/>
          <w:b/>
          <w:color w:val="002060"/>
          <w:sz w:val="28"/>
        </w:rPr>
        <w:t>September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52532B7F"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572DB6B9"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senior leadership in a Church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lastRenderedPageBreak/>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230C61D9"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Default="00543FE0" w:rsidP="00F8015C">
            <w:pPr>
              <w:rPr>
                <w:szCs w:val="24"/>
              </w:rPr>
            </w:pPr>
            <w:r>
              <w:rPr>
                <w:szCs w:val="24"/>
              </w:rPr>
              <w:t>Qualification/ Subject(s)</w:t>
            </w:r>
          </w:p>
          <w:p w14:paraId="69B45F2C"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47B415B7" w14:textId="77777777" w:rsidR="00543FE0" w:rsidRDefault="00543FE0" w:rsidP="00F8015C">
            <w:pPr>
              <w:rPr>
                <w:szCs w:val="24"/>
              </w:rPr>
            </w:pPr>
            <w:r>
              <w:rPr>
                <w:szCs w:val="24"/>
              </w:rPr>
              <w:t>Level</w:t>
            </w:r>
          </w:p>
          <w:p w14:paraId="62B1FB8C"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Default="00543FE0" w:rsidP="00F8015C">
            <w:pPr>
              <w:rPr>
                <w:szCs w:val="24"/>
              </w:rPr>
            </w:pPr>
            <w:r>
              <w:rPr>
                <w:szCs w:val="24"/>
              </w:rPr>
              <w:t>Exam</w:t>
            </w:r>
          </w:p>
          <w:p w14:paraId="29BC64BD"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Default="00543FE0" w:rsidP="00F8015C">
            <w:pPr>
              <w:rPr>
                <w:szCs w:val="24"/>
              </w:rPr>
            </w:pPr>
            <w:r>
              <w:rPr>
                <w:szCs w:val="24"/>
              </w:rPr>
              <w:t>Finish date</w:t>
            </w:r>
          </w:p>
          <w:p w14:paraId="08874C47" w14:textId="77777777" w:rsidR="00543FE0" w:rsidRDefault="00543FE0" w:rsidP="00F8015C">
            <w:pPr>
              <w:rPr>
                <w:szCs w:val="24"/>
              </w:rPr>
            </w:pPr>
          </w:p>
        </w:tc>
      </w:tr>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 xml:space="preserve">d) Membership of Professional Body(ies)/ Professional Qualification(s)   </w:t>
            </w:r>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Body(ies)</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period of time,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The Equality Act defines a disabled person as anyone who has or has had a physical or mental impairment which has a substantial and long term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(ies)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NOTES FOR  APPLICANTS:</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77777777"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Friday 21</w:t>
      </w:r>
      <w:r w:rsidRPr="00647FA7">
        <w:rPr>
          <w:sz w:val="20"/>
          <w:szCs w:val="20"/>
          <w:vertAlign w:val="superscript"/>
        </w:rPr>
        <w:t>st</w:t>
      </w:r>
      <w:r>
        <w:rPr>
          <w:sz w:val="20"/>
          <w:szCs w:val="20"/>
        </w:rPr>
        <w:t xml:space="preserve"> September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Pr>
          <w:sz w:val="20"/>
          <w:szCs w:val="20"/>
        </w:rPr>
        <w:t>Wednesday 26</w:t>
      </w:r>
      <w:r w:rsidRPr="00647FA7">
        <w:rPr>
          <w:sz w:val="20"/>
          <w:szCs w:val="20"/>
          <w:vertAlign w:val="superscript"/>
        </w:rPr>
        <w:t>th</w:t>
      </w:r>
      <w:r>
        <w:rPr>
          <w:sz w:val="20"/>
          <w:szCs w:val="20"/>
        </w:rPr>
        <w:t xml:space="preserve"> September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F2E87"/>
    <w:rsid w:val="0010569B"/>
    <w:rsid w:val="00117959"/>
    <w:rsid w:val="0015225E"/>
    <w:rsid w:val="001743D0"/>
    <w:rsid w:val="00180786"/>
    <w:rsid w:val="001B5FC0"/>
    <w:rsid w:val="001D0690"/>
    <w:rsid w:val="001E6A0C"/>
    <w:rsid w:val="0021151F"/>
    <w:rsid w:val="00211CFA"/>
    <w:rsid w:val="002267C4"/>
    <w:rsid w:val="002455B7"/>
    <w:rsid w:val="0025607E"/>
    <w:rsid w:val="00266DDD"/>
    <w:rsid w:val="00280E43"/>
    <w:rsid w:val="00284A6D"/>
    <w:rsid w:val="002C3AD6"/>
    <w:rsid w:val="00304089"/>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631B"/>
    <w:rsid w:val="00756C60"/>
    <w:rsid w:val="007635C2"/>
    <w:rsid w:val="007705D6"/>
    <w:rsid w:val="00770751"/>
    <w:rsid w:val="00792CC2"/>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1C67"/>
    <w:rsid w:val="0098267C"/>
    <w:rsid w:val="009A1917"/>
    <w:rsid w:val="009B1526"/>
    <w:rsid w:val="009B1719"/>
    <w:rsid w:val="009C6675"/>
    <w:rsid w:val="009F2965"/>
    <w:rsid w:val="009F3B14"/>
    <w:rsid w:val="00A052A3"/>
    <w:rsid w:val="00A079AF"/>
    <w:rsid w:val="00A10857"/>
    <w:rsid w:val="00A13100"/>
    <w:rsid w:val="00A52794"/>
    <w:rsid w:val="00AB2618"/>
    <w:rsid w:val="00AC28CA"/>
    <w:rsid w:val="00AD733E"/>
    <w:rsid w:val="00AD7F39"/>
    <w:rsid w:val="00AE1AF1"/>
    <w:rsid w:val="00AE5ABE"/>
    <w:rsid w:val="00AF66B0"/>
    <w:rsid w:val="00B010D6"/>
    <w:rsid w:val="00B01205"/>
    <w:rsid w:val="00B01960"/>
    <w:rsid w:val="00B06CD1"/>
    <w:rsid w:val="00B27961"/>
    <w:rsid w:val="00B34531"/>
    <w:rsid w:val="00B36A93"/>
    <w:rsid w:val="00B43CA9"/>
    <w:rsid w:val="00B50773"/>
    <w:rsid w:val="00B527EB"/>
    <w:rsid w:val="00B62C1E"/>
    <w:rsid w:val="00B76365"/>
    <w:rsid w:val="00B76F54"/>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E101BA"/>
    <w:rsid w:val="00E5186E"/>
    <w:rsid w:val="00E51947"/>
    <w:rsid w:val="00E54743"/>
    <w:rsid w:val="00E7070C"/>
    <w:rsid w:val="00E73741"/>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2</cp:revision>
  <cp:lastPrinted>2018-08-27T10:33:00Z</cp:lastPrinted>
  <dcterms:created xsi:type="dcterms:W3CDTF">2018-08-29T13:58:00Z</dcterms:created>
  <dcterms:modified xsi:type="dcterms:W3CDTF">2018-08-29T13:58:00Z</dcterms:modified>
</cp:coreProperties>
</file>